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Hugh Herr</w:t>
            </w:r>
          </w:p>
          <w:p>
            <w:pPr>
              <w:pStyle w:val="Normal"/>
              <w:jc w:val="both"/>
              <w:rPr/>
            </w:pPr>
            <w:r>
              <w:rPr>
                <w:rFonts w:eastAsia="Arial" w:cs="Arial" w:ascii="Arial" w:hAnsi="Arial"/>
                <w:b/>
                <w:sz w:val="24"/>
                <w:szCs w:val="24"/>
                <w:highlight w:val="white"/>
              </w:rPr>
              <w:t>Professor of Media Arts and Sciences</w:t>
            </w:r>
          </w:p>
          <w:p>
            <w:pPr>
              <w:pStyle w:val="Normal"/>
              <w:jc w:val="both"/>
              <w:rPr/>
            </w:pPr>
            <w:r>
              <w:rPr>
                <w:rFonts w:eastAsia="Arial" w:cs="Arial" w:ascii="Arial" w:hAnsi="Arial"/>
                <w:b/>
                <w:sz w:val="24"/>
                <w:szCs w:val="24"/>
                <w:highlight w:val="white"/>
              </w:rPr>
              <w:t>Massachusetts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Herr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