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Hugh Lim </w:t>
            </w:r>
          </w:p>
          <w:p>
            <w:pPr>
              <w:pStyle w:val="Normal"/>
              <w:jc w:val="both"/>
              <w:rPr/>
            </w:pPr>
            <w:r>
              <w:rPr>
                <w:rFonts w:eastAsia="Arial" w:cs="Arial" w:ascii="Arial" w:hAnsi="Arial"/>
                <w:b/>
                <w:sz w:val="24"/>
                <w:szCs w:val="24"/>
              </w:rPr>
              <w:t>Executive Director</w:t>
            </w:r>
          </w:p>
          <w:p>
            <w:pPr>
              <w:pStyle w:val="Normal"/>
              <w:jc w:val="both"/>
              <w:rPr/>
            </w:pPr>
            <w:r>
              <w:rPr>
                <w:rFonts w:eastAsia="Arial" w:cs="Arial" w:ascii="Arial" w:hAnsi="Arial"/>
                <w:b/>
                <w:sz w:val="24"/>
                <w:szCs w:val="24"/>
              </w:rPr>
              <w:t>Center for Liveable Cities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Lim </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