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Ida Pavlichenko</w:t>
            </w:r>
          </w:p>
          <w:p>
            <w:pPr>
              <w:pStyle w:val="Normal"/>
              <w:jc w:val="both"/>
              <w:rPr/>
            </w:pPr>
            <w:r>
              <w:rPr>
                <w:rFonts w:eastAsia="Arial" w:cs="Arial" w:ascii="Arial" w:hAnsi="Arial"/>
                <w:b/>
                <w:sz w:val="24"/>
                <w:szCs w:val="24"/>
                <w:highlight w:val="white"/>
              </w:rPr>
              <w:t>Technology Development Fellow</w:t>
            </w:r>
          </w:p>
          <w:p>
            <w:pPr>
              <w:pStyle w:val="Normal"/>
              <w:jc w:val="both"/>
              <w:rPr/>
            </w:pPr>
            <w:r>
              <w:rPr>
                <w:rFonts w:eastAsia="Arial" w:cs="Arial" w:ascii="Arial" w:hAnsi="Arial"/>
                <w:b/>
                <w:sz w:val="24"/>
                <w:szCs w:val="24"/>
                <w:highlight w:val="white"/>
              </w:rPr>
              <w:t>Harvard Wyss Institute for Biologically Inspired Engineering</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Pavlichenko</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