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Jörg Pudelka</w:t>
            </w:r>
          </w:p>
          <w:p>
            <w:pPr>
              <w:pStyle w:val="Normal"/>
              <w:jc w:val="both"/>
              <w:rPr/>
            </w:pPr>
            <w:r>
              <w:rPr>
                <w:rFonts w:eastAsia="Arial" w:cs="Arial" w:ascii="Arial" w:hAnsi="Arial"/>
                <w:b/>
                <w:sz w:val="24"/>
                <w:szCs w:val="24"/>
              </w:rPr>
              <w:t>
Country Director</w:t>
            </w:r>
          </w:p>
          <w:p>
            <w:pPr>
              <w:pStyle w:val="Normal"/>
              <w:jc w:val="both"/>
              <w:rPr/>
            </w:pPr>
            <w:r>
              <w:rPr>
                <w:rFonts w:eastAsia="Arial" w:cs="Arial" w:ascii="Arial" w:hAnsi="Arial"/>
                <w:b/>
                <w:sz w:val="24"/>
                <w:szCs w:val="24"/>
              </w:rPr>
              <w:t>GIZ Office Kazakhstan</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Pudelka</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