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Jacob Morgan</w:t>
            </w:r>
          </w:p>
          <w:p>
            <w:pPr>
              <w:pStyle w:val="Normal"/>
              <w:jc w:val="both"/>
              <w:rPr/>
            </w:pPr>
            <w:r>
              <w:rPr>
                <w:rFonts w:eastAsia="Arial" w:cs="Arial" w:ascii="Arial" w:hAnsi="Arial"/>
                <w:b/>
                <w:sz w:val="24"/>
                <w:szCs w:val="24"/>
                <w:highlight w:val="white"/>
              </w:rPr>
              <w:t>Founder</w:t>
            </w:r>
          </w:p>
          <w:p>
            <w:pPr>
              <w:pStyle w:val="Normal"/>
              <w:jc w:val="both"/>
              <w:rPr/>
            </w:pPr>
            <w:r>
              <w:rPr>
                <w:rFonts w:eastAsia="Arial" w:cs="Arial" w:ascii="Arial" w:hAnsi="Arial"/>
                <w:b/>
                <w:sz w:val="24"/>
                <w:szCs w:val="24"/>
                <w:highlight w:val="white"/>
              </w:rPr>
              <w:t>Future of Work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Morgan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