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Jan-Emmanuel  De Neve</w:t>
            </w:r>
          </w:p>
          <w:p>
            <w:pPr>
              <w:pStyle w:val="Normal"/>
              <w:jc w:val="both"/>
              <w:rPr/>
            </w:pPr>
            <w:r>
              <w:rPr>
                <w:rFonts w:eastAsia="Arial" w:cs="Arial" w:ascii="Arial" w:hAnsi="Arial"/>
                <w:b/>
                <w:sz w:val="24"/>
                <w:szCs w:val="24"/>
              </w:rPr>
              <w:t>Associate Professor of Economics and Strategy</w:t>
            </w:r>
          </w:p>
          <w:p>
            <w:pPr>
              <w:pStyle w:val="Normal"/>
              <w:jc w:val="both"/>
              <w:rPr/>
            </w:pPr>
            <w:r>
              <w:rPr>
                <w:rFonts w:eastAsia="Arial" w:cs="Arial" w:ascii="Arial" w:hAnsi="Arial"/>
                <w:b/>
                <w:sz w:val="24"/>
                <w:szCs w:val="24"/>
              </w:rPr>
              <w:t>University of Oxford</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Dr  De Neve</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