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Jeremy Rifkin</w:t>
            </w:r>
          </w:p>
          <w:p>
            <w:pPr>
              <w:pStyle w:val="Normal"/>
              <w:jc w:val="both"/>
              <w:rPr/>
            </w:pPr>
            <w:r>
              <w:rPr>
                <w:rFonts w:eastAsia="Arial" w:cs="Arial" w:ascii="Arial" w:hAnsi="Arial"/>
                <w:b/>
                <w:sz w:val="24"/>
                <w:szCs w:val="24"/>
              </w:rPr>
              <w:t>President</w:t>
            </w:r>
          </w:p>
          <w:p>
            <w:pPr>
              <w:pStyle w:val="Normal"/>
              <w:jc w:val="both"/>
              <w:rPr/>
            </w:pPr>
            <w:r>
              <w:rPr>
                <w:rFonts w:eastAsia="Arial" w:cs="Arial" w:ascii="Arial" w:hAnsi="Arial"/>
                <w:b/>
                <w:sz w:val="24"/>
                <w:szCs w:val="24"/>
              </w:rPr>
              <w:t>Foundation on Economic Trends</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Rifkin</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