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John Cooke</w:t>
            </w:r>
          </w:p>
          <w:p>
            <w:pPr>
              <w:pStyle w:val="Normal"/>
              <w:jc w:val="both"/>
              <w:rPr/>
            </w:pPr>
            <w:r>
              <w:rPr>
                <w:rFonts w:eastAsia="Arial" w:cs="Arial" w:ascii="Arial" w:hAnsi="Arial"/>
                <w:b/>
                <w:sz w:val="24"/>
                <w:szCs w:val="24"/>
              </w:rPr>
              <w:t>Medical director, RNA Therapeutics Program</w:t>
            </w:r>
          </w:p>
          <w:p>
            <w:pPr>
              <w:pStyle w:val="Normal"/>
              <w:jc w:val="both"/>
              <w:rPr/>
            </w:pPr>
            <w:r>
              <w:rPr>
                <w:rFonts w:eastAsia="Arial" w:cs="Arial" w:ascii="Arial" w:hAnsi="Arial"/>
                <w:b/>
                <w:sz w:val="24"/>
                <w:szCs w:val="24"/>
              </w:rPr>
              <w:t>Houston Methodist Research Institute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Cooke</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