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Josep Borell Fontelles</w:t>
            </w:r>
          </w:p>
          <w:p>
            <w:pPr>
              <w:pStyle w:val="Normal"/>
              <w:jc w:val="both"/>
              <w:rPr/>
            </w:pPr>
            <w:r>
              <w:rPr>
                <w:rFonts w:eastAsia="Arial" w:cs="Arial" w:ascii="Arial" w:hAnsi="Arial"/>
                <w:b/>
                <w:sz w:val="24"/>
                <w:szCs w:val="24"/>
                <w:highlight w:val="white"/>
              </w:rPr>
              <w:t>High Representative of the EU for Foreign Affairs and Security Policy</w:t>
            </w:r>
          </w:p>
          <w:p>
            <w:pPr>
              <w:pStyle w:val="Normal"/>
              <w:jc w:val="both"/>
              <w:rPr/>
            </w:pPr>
            <w:r>
              <w:rPr>
                <w:rFonts w:eastAsia="Arial" w:cs="Arial" w:ascii="Arial" w:hAnsi="Arial"/>
                <w:b/>
                <w:sz w:val="24"/>
                <w:szCs w:val="24"/>
                <w:highlight w:val="white"/>
              </w:rPr>
              <w:t>European Commission</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Fontelles</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