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Liz Zeidler</w:t>
            </w:r>
          </w:p>
          <w:p>
            <w:pPr>
              <w:pStyle w:val="Normal"/>
              <w:jc w:val="both"/>
              <w:rPr/>
            </w:pPr>
            <w:r>
              <w:rPr>
                <w:rFonts w:eastAsia="Arial" w:cs="Arial" w:ascii="Arial" w:hAnsi="Arial"/>
                <w:b/>
                <w:sz w:val="24"/>
                <w:szCs w:val="24"/>
              </w:rPr>
              <w:t>Founder and Chief Executive</w:t>
            </w:r>
          </w:p>
          <w:p>
            <w:pPr>
              <w:pStyle w:val="Normal"/>
              <w:jc w:val="both"/>
              <w:rPr/>
            </w:pPr>
            <w:r>
              <w:rPr>
                <w:rFonts w:eastAsia="Arial" w:cs="Arial" w:ascii="Arial" w:hAnsi="Arial"/>
                <w:b/>
                <w:sz w:val="24"/>
                <w:szCs w:val="24"/>
              </w:rPr>
              <w:t>Centre for Thriving Places</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Ms Zeidler</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