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Marja-Liisa Niinikoski</w:t>
            </w:r>
          </w:p>
          <w:p>
            <w:pPr>
              <w:pStyle w:val="Normal"/>
              <w:jc w:val="both"/>
              <w:rPr/>
            </w:pPr>
            <w:r>
              <w:rPr>
                <w:rFonts w:eastAsia="Arial" w:cs="Arial" w:ascii="Arial" w:hAnsi="Arial"/>
                <w:b/>
                <w:sz w:val="24"/>
                <w:szCs w:val="24"/>
                <w:highlight w:val="white"/>
              </w:rPr>
              <w:t>Former Chief Executive Officer</w:t>
            </w:r>
          </w:p>
          <w:p>
            <w:pPr>
              <w:pStyle w:val="Normal"/>
              <w:jc w:val="both"/>
              <w:rPr/>
            </w:pPr>
            <w:r>
              <w:rPr>
                <w:rFonts w:eastAsia="Arial" w:cs="Arial" w:ascii="Arial" w:hAnsi="Arial"/>
                <w:b/>
                <w:sz w:val="24"/>
                <w:szCs w:val="24"/>
                <w:highlight w:val="white"/>
              </w:rPr>
              <w:t>Helsinki Business Hub Limited</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Niinikoski</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