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Mary Meaney</w:t></w:r></w:p><w:p><w:pPr><w:pStyle w:val="Normal"/><w:jc w:val="both"/><w:rPr></w:rPr></w:pPr><w:r><w:rPr><w:rFonts w:eastAsia="Arial" w:cs="Arial" w:ascii="Arial" w:hAnsi="Arial"/><w:b/><w:sz w:val="24"/><w:szCs w:val="24"/><w:highlight w:val="white"/></w:rPr><w:t>Senior Partner in Transformational Age</w:t></w:r></w:p><w:p><w:pPr><w:pStyle w:val="Normal"/><w:jc w:val="both"/><w:rPr></w:rPr></w:pPr><w:r><w:rPr><w:rFonts w:eastAsia="Arial" w:cs="Arial" w:ascii="Arial" w:hAnsi="Arial"/><w:b/><w:sz w:val="24"/><w:szCs w:val="24"/><w:highlight w:val="white"/></w:rPr><w:t>McKinsey&Company</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Ms Meaney</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