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Matt Murphy</w:t>
            </w:r>
          </w:p>
          <w:p>
            <w:pPr>
              <w:pStyle w:val="Normal"/>
              <w:jc w:val="both"/>
              <w:rPr/>
            </w:pPr>
            <w:r>
              <w:rPr>
                <w:rFonts w:eastAsia="Arial" w:cs="Arial" w:ascii="Arial" w:hAnsi="Arial"/>
                <w:b/>
                <w:sz w:val="24"/>
                <w:szCs w:val="24"/>
                <w:highlight w:val="white"/>
              </w:rPr>
              <w:t>President and CEO</w:t>
            </w:r>
          </w:p>
          <w:p>
            <w:pPr>
              <w:pStyle w:val="Normal"/>
              <w:jc w:val="both"/>
              <w:rPr/>
            </w:pPr>
            <w:r>
              <w:rPr>
                <w:rFonts w:eastAsia="Arial" w:cs="Arial" w:ascii="Arial" w:hAnsi="Arial"/>
                <w:b/>
                <w:sz w:val="24"/>
                <w:szCs w:val="24"/>
                <w:highlight w:val="white"/>
              </w:rPr>
              <w:t>Marvell Technology Group</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Murphy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