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Melanie Harris</w:t></w:r></w:p><w:p><w:pPr><w:pStyle w:val="Normal"/><w:jc w:val="both"/><w:rPr></w:rPr></w:pPr><w:r><w:rPr><w:rFonts w:eastAsia="Arial" w:cs="Arial" w:ascii="Arial" w:hAnsi="Arial"/><w:b/><w:sz w:val="24"/><w:szCs w:val="24"/><w:highlight w:val="white"/></w:rPr><w:t>VP, Strategy & Development</w:t></w:r></w:p><w:p><w:pPr><w:pStyle w:val="Normal"/><w:jc w:val="both"/><w:rPr></w:rPr></w:pPr><w:r><w:rPr><w:rFonts w:eastAsia="Arial" w:cs="Arial" w:ascii="Arial" w:hAnsi="Arial"/><w:b/><w:sz w:val="24"/><w:szCs w:val="24"/><w:highlight w:val="white"/></w:rPr><w:t>NIKE</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Ms Harris</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