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Michael  Curtis</w:t>
            </w:r>
          </w:p>
          <w:p>
            <w:pPr>
              <w:pStyle w:val="Normal"/>
              <w:jc w:val="both"/>
              <w:rPr/>
            </w:pPr>
            <w:r>
              <w:rPr>
                <w:rFonts w:eastAsia="Arial" w:cs="Arial" w:ascii="Arial" w:hAnsi="Arial"/>
                <w:b/>
                <w:sz w:val="24"/>
                <w:szCs w:val="24"/>
              </w:rPr>
              <w:t>Adjunct Professor, Schar School of Policy and Government</w:t>
            </w:r>
          </w:p>
          <w:p>
            <w:pPr>
              <w:pStyle w:val="Normal"/>
              <w:jc w:val="both"/>
              <w:rPr/>
            </w:pPr>
            <w:r>
              <w:rPr>
                <w:rFonts w:eastAsia="Arial" w:cs="Arial" w:ascii="Arial" w:hAnsi="Arial"/>
                <w:b/>
                <w:sz w:val="24"/>
                <w:szCs w:val="24"/>
              </w:rPr>
              <w:t>George Mason University</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Curtis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