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Mo Rosen</w:t>
            </w:r>
          </w:p>
          <w:p>
            <w:pPr>
              <w:pStyle w:val="Normal"/>
              <w:jc w:val="both"/>
              <w:rPr/>
            </w:pPr>
            <w:r>
              <w:rPr>
                <w:rFonts w:eastAsia="Arial" w:cs="Arial" w:ascii="Arial" w:hAnsi="Arial"/>
                <w:b/>
                <w:sz w:val="24"/>
                <w:szCs w:val="24"/>
                <w:highlight w:val="white"/>
              </w:rPr>
              <w:t>Chief Executive Officer</w:t>
            </w:r>
          </w:p>
          <w:p>
            <w:pPr>
              <w:pStyle w:val="Normal"/>
              <w:jc w:val="both"/>
              <w:rPr/>
            </w:pPr>
            <w:r>
              <w:rPr>
                <w:rFonts w:eastAsia="Arial" w:cs="Arial" w:ascii="Arial" w:hAnsi="Arial"/>
                <w:b/>
                <w:sz w:val="24"/>
                <w:szCs w:val="24"/>
                <w:highlight w:val="white"/>
              </w:rPr>
              <w:t>Digital Guardian</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Mr Rosen</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