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Nadjia Yousif</w:t></w:r></w:p><w:p><w:pPr><w:pStyle w:val="Normal"/><w:jc w:val="both"/><w:rPr></w:rPr></w:pPr><w:r><w:rPr><w:rFonts w:eastAsia="Arial" w:cs="Arial" w:ascii="Arial" w:hAnsi="Arial"/><w:b/><w:sz w:val="24"/><w:szCs w:val="24"/><w:highlight w:val="white"/></w:rPr><w:t>Managing Director & Partner</w:t></w:r></w:p><w:p><w:pPr><w:pStyle w:val="Normal"/><w:jc w:val="both"/><w:rPr></w:rPr></w:pPr><w:r><w:rPr><w:rFonts w:eastAsia="Arial" w:cs="Arial" w:ascii="Arial" w:hAnsi="Arial"/><w:b/><w:sz w:val="24"/><w:szCs w:val="24"/><w:highlight w:val="white"/></w:rPr><w:t>The Boston Consulting Group</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Yousif</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