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Noelle Acheson</w:t>
            </w:r>
          </w:p>
          <w:p>
            <w:pPr>
              <w:pStyle w:val="Normal"/>
              <w:jc w:val="both"/>
              <w:rPr/>
            </w:pPr>
            <w:r>
              <w:rPr>
                <w:rFonts w:eastAsia="Arial" w:cs="Arial" w:ascii="Arial" w:hAnsi="Arial"/>
                <w:b/>
                <w:sz w:val="24"/>
                <w:szCs w:val="24"/>
              </w:rPr>
              <w:t>Managing Director, Research</w:t>
            </w:r>
          </w:p>
          <w:p>
            <w:pPr>
              <w:pStyle w:val="Normal"/>
              <w:jc w:val="both"/>
              <w:rPr/>
            </w:pPr>
            <w:r>
              <w:rPr>
                <w:rFonts w:eastAsia="Arial" w:cs="Arial" w:ascii="Arial" w:hAnsi="Arial"/>
                <w:b/>
                <w:sz w:val="24"/>
                <w:szCs w:val="24"/>
              </w:rPr>
              <w:t>CoinDesk</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Acheson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