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Paul Stauder</w:t>
            </w:r>
          </w:p>
          <w:p>
            <w:pPr>
              <w:pStyle w:val="Normal"/>
              <w:jc w:val="both"/>
              <w:rPr/>
            </w:pPr>
            <w:r>
              <w:rPr>
                <w:rFonts w:eastAsia="Arial" w:cs="Arial" w:ascii="Arial" w:hAnsi="Arial"/>
                <w:b/>
                <w:sz w:val="24"/>
                <w:szCs w:val="24"/>
              </w:rPr>
              <w:t>President of Covanta Environmental Solutions</w:t>
            </w:r>
          </w:p>
          <w:p>
            <w:pPr>
              <w:pStyle w:val="Normal"/>
              <w:jc w:val="both"/>
              <w:rPr/>
            </w:pPr>
            <w:r>
              <w:rPr>
                <w:rFonts w:eastAsia="Arial" w:cs="Arial" w:ascii="Arial" w:hAnsi="Arial"/>
                <w:b/>
                <w:sz w:val="24"/>
                <w:szCs w:val="24"/>
              </w:rPr>
              <w:t>Covanta Holding Corporation</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Mr Stauder</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