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Risa Lavizzo-Mourey</w:t>
            </w:r>
          </w:p>
          <w:p>
            <w:pPr>
              <w:pStyle w:val="Normal"/>
              <w:jc w:val="both"/>
              <w:rPr/>
            </w:pPr>
            <w:r>
              <w:rPr>
                <w:rFonts w:eastAsia="Arial" w:cs="Arial" w:ascii="Arial" w:hAnsi="Arial"/>
                <w:b/>
                <w:sz w:val="24"/>
                <w:szCs w:val="24"/>
                <w:highlight w:val="white"/>
              </w:rPr>
              <w:t>Professor of Population Health and Health Equity</w:t>
            </w:r>
          </w:p>
          <w:p>
            <w:pPr>
              <w:pStyle w:val="Normal"/>
              <w:jc w:val="both"/>
              <w:rPr/>
            </w:pPr>
            <w:r>
              <w:rPr>
                <w:rFonts w:eastAsia="Arial" w:cs="Arial" w:ascii="Arial" w:hAnsi="Arial"/>
                <w:b/>
                <w:sz w:val="24"/>
                <w:szCs w:val="24"/>
                <w:highlight w:val="white"/>
              </w:rPr>
              <w:t>University of Pennsylvania</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Lavizzo-Mourey</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