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Saul Berman</w:t>
            </w:r>
          </w:p>
          <w:p>
            <w:pPr>
              <w:pStyle w:val="Normal"/>
              <w:jc w:val="both"/>
              <w:rPr/>
            </w:pPr>
            <w:r>
              <w:rPr>
                <w:rFonts w:eastAsia="Arial" w:cs="Arial" w:ascii="Arial" w:hAnsi="Arial"/>
                <w:b/>
                <w:sz w:val="24"/>
                <w:szCs w:val="24"/>
                <w:highlight w:val="white"/>
              </w:rPr>
              <w:t>Vice President and Global Chief Strategist</w:t>
            </w:r>
          </w:p>
          <w:p>
            <w:pPr>
              <w:pStyle w:val="Normal"/>
              <w:jc w:val="both"/>
              <w:rPr/>
            </w:pPr>
            <w:r>
              <w:rPr>
                <w:rFonts w:eastAsia="Arial" w:cs="Arial" w:ascii="Arial" w:hAnsi="Arial"/>
                <w:b/>
                <w:sz w:val="24"/>
                <w:szCs w:val="24"/>
                <w:highlight w:val="white"/>
              </w:rPr>
              <w:t>IBM Global Services</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Berman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