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Sten Garmark</w:t>
            </w:r>
          </w:p>
          <w:p>
            <w:pPr>
              <w:pStyle w:val="Normal"/>
              <w:jc w:val="both"/>
              <w:rPr/>
            </w:pPr>
            <w:r>
              <w:rPr>
                <w:rFonts w:eastAsia="Arial" w:cs="Arial" w:ascii="Arial" w:hAnsi="Arial"/>
                <w:b/>
                <w:sz w:val="24"/>
                <w:szCs w:val="24"/>
                <w:highlight w:val="white"/>
              </w:rPr>
              <w:t>Vice President, Head of Global Consumer Experience</w:t>
            </w:r>
          </w:p>
          <w:p>
            <w:pPr>
              <w:pStyle w:val="Normal"/>
              <w:jc w:val="both"/>
              <w:rPr/>
            </w:pPr>
            <w:r>
              <w:rPr>
                <w:rFonts w:eastAsia="Arial" w:cs="Arial" w:ascii="Arial" w:hAnsi="Arial"/>
                <w:b/>
                <w:sz w:val="24"/>
                <w:szCs w:val="24"/>
                <w:highlight w:val="white"/>
              </w:rPr>
              <w:t>Spotify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Garmark</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