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Susan Hayter</w:t>
            </w:r>
          </w:p>
          <w:p>
            <w:pPr>
              <w:pStyle w:val="Normal"/>
              <w:jc w:val="both"/>
              <w:rPr/>
            </w:pPr>
            <w:r>
              <w:rPr>
                <w:rFonts w:eastAsia="Arial" w:cs="Arial" w:ascii="Arial" w:hAnsi="Arial"/>
                <w:b/>
                <w:sz w:val="24"/>
                <w:szCs w:val="24"/>
                <w:highlight w:val="white"/>
              </w:rPr>
              <w:t>Senior Technical Advisor on the Future of Work</w:t>
            </w:r>
          </w:p>
          <w:p>
            <w:pPr>
              <w:pStyle w:val="Normal"/>
              <w:jc w:val="both"/>
              <w:rPr/>
            </w:pPr>
            <w:r>
              <w:rPr>
                <w:rFonts w:eastAsia="Arial" w:cs="Arial" w:ascii="Arial" w:hAnsi="Arial"/>
                <w:b/>
                <w:sz w:val="24"/>
                <w:szCs w:val="24"/>
                <w:highlight w:val="white"/>
              </w:rPr>
              <w:t>International Labour Organization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Hayter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