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Teresa Clark</w:t></w:r></w:p><w:p><w:pPr><w:pStyle w:val="Normal"/><w:jc w:val="both"/><w:rPr></w:rPr></w:pPr><w:r><w:rPr><w:rFonts w:eastAsia="Arial" w:cs="Arial" w:ascii="Arial" w:hAnsi="Arial"/><w:b/><w:sz w:val="24"/><w:szCs w:val="24"/><w:highlight w:val="white"/></w:rPr><w:t>Sustainability Director</w:t></w:r></w:p><w:p><w:pPr><w:pStyle w:val="Normal"/><w:jc w:val="both"/><w:rPr></w:rPr></w:pPr><w:r><w:rPr><w:rFonts w:eastAsia="Arial" w:cs="Arial" w:ascii="Arial" w:hAnsi="Arial"/><w:b/><w:sz w:val="24"/><w:szCs w:val="24"/><w:highlight w:val="white"/></w:rPr><w:t>Environmental Research & Education Foundation</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Ms Clark</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