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Tsu-Jae King Liu</w:t>
            </w:r>
          </w:p>
          <w:p>
            <w:pPr>
              <w:pStyle w:val="Normal"/>
              <w:jc w:val="both"/>
              <w:rPr/>
            </w:pPr>
            <w:r>
              <w:rPr>
                <w:rFonts w:eastAsia="Arial" w:cs="Arial" w:ascii="Arial" w:hAnsi="Arial"/>
                <w:b/>
                <w:sz w:val="24"/>
                <w:szCs w:val="24"/>
                <w:highlight w:val="white"/>
              </w:rPr>
              <w:t>Dean and Roy W. Carlson Professor of Engineering</w:t>
            </w:r>
          </w:p>
          <w:p>
            <w:pPr>
              <w:pStyle w:val="Normal"/>
              <w:jc w:val="both"/>
              <w:rPr/>
            </w:pPr>
            <w:r>
              <w:rPr>
                <w:rFonts w:eastAsia="Arial" w:cs="Arial" w:ascii="Arial" w:hAnsi="Arial"/>
                <w:b/>
                <w:sz w:val="24"/>
                <w:szCs w:val="24"/>
                <w:highlight w:val="white"/>
              </w:rPr>
              <w:t>University of California, Berkeley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Ms King Liu</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