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Victoria Burrows</w:t>
            </w:r>
          </w:p>
          <w:p>
            <w:pPr>
              <w:pStyle w:val="Normal"/>
              <w:jc w:val="both"/>
              <w:rPr/>
            </w:pPr>
            <w:r>
              <w:rPr>
                <w:rFonts w:eastAsia="Arial" w:cs="Arial" w:ascii="Arial" w:hAnsi="Arial"/>
                <w:b/>
                <w:sz w:val="24"/>
                <w:szCs w:val="24"/>
              </w:rPr>
              <w:t>Director, Advancing Net Zero</w:t>
            </w:r>
          </w:p>
          <w:p>
            <w:pPr>
              <w:pStyle w:val="Normal"/>
              <w:jc w:val="both"/>
              <w:rPr/>
            </w:pPr>
            <w:r>
              <w:rPr>
                <w:rFonts w:eastAsia="Arial" w:cs="Arial" w:ascii="Arial" w:hAnsi="Arial"/>
                <w:b/>
                <w:sz w:val="24"/>
                <w:szCs w:val="24"/>
              </w:rPr>
              <w:t>World Green Building Council</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Burrows</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