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Wendy Whitman Cobb</w:t>
            </w:r>
          </w:p>
          <w:p>
            <w:pPr>
              <w:pStyle w:val="Normal"/>
              <w:jc w:val="both"/>
              <w:rPr/>
            </w:pPr>
            <w:r>
              <w:rPr>
                <w:rFonts w:eastAsia="Arial" w:cs="Arial" w:ascii="Arial" w:hAnsi="Arial"/>
                <w:b/>
                <w:sz w:val="24"/>
                <w:szCs w:val="24"/>
              </w:rPr>
              <w:t>Professor of Strategy and Security Studies</w:t>
            </w:r>
          </w:p>
          <w:p>
            <w:pPr>
              <w:pStyle w:val="Normal"/>
              <w:jc w:val="both"/>
              <w:rPr/>
            </w:pPr>
            <w:r>
              <w:rPr>
                <w:rFonts w:eastAsia="Arial" w:cs="Arial" w:ascii="Arial" w:hAnsi="Arial"/>
                <w:b/>
                <w:sz w:val="24"/>
                <w:szCs w:val="24"/>
              </w:rPr>
              <w:t>US Air Force School of Advanced Air and Space Studies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Whitman Cobb</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