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Wolfgang Ketterle</w:t>
            </w:r>
          </w:p>
          <w:p>
            <w:pPr>
              <w:pStyle w:val="Normal"/>
              <w:jc w:val="both"/>
              <w:rPr/>
            </w:pPr>
            <w:r>
              <w:rPr>
                <w:rFonts w:eastAsia="Arial" w:cs="Arial" w:ascii="Arial" w:hAnsi="Arial"/>
                <w:b/>
                <w:sz w:val="24"/>
                <w:szCs w:val="24"/>
                <w:highlight w:val="white"/>
              </w:rPr>
              <w:t>Professor of physics</w:t>
            </w:r>
          </w:p>
          <w:p>
            <w:pPr>
              <w:pStyle w:val="Normal"/>
              <w:jc w:val="both"/>
              <w:rPr/>
            </w:pPr>
            <w:r>
              <w:rPr>
                <w:rFonts w:eastAsia="Arial" w:cs="Arial" w:ascii="Arial" w:hAnsi="Arial"/>
                <w:b/>
                <w:sz w:val="24"/>
                <w:szCs w:val="24"/>
                <w:highlight w:val="white"/>
              </w:rPr>
              <w:t>Massachusetts Institute of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Ketterle</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