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Yuri Sebregts</w:t>
            </w:r>
          </w:p>
          <w:p>
            <w:pPr>
              <w:pStyle w:val="Normal"/>
              <w:jc w:val="both"/>
              <w:rPr/>
            </w:pPr>
            <w:r>
              <w:rPr>
                <w:rFonts w:eastAsia="Arial" w:cs="Arial" w:ascii="Arial" w:hAnsi="Arial"/>
                <w:b/>
                <w:sz w:val="24"/>
                <w:szCs w:val="24"/>
                <w:highlight w:val="white"/>
              </w:rPr>
              <w:t>Chief Technology Officer</w:t>
            </w:r>
          </w:p>
          <w:p>
            <w:pPr>
              <w:pStyle w:val="Normal"/>
              <w:jc w:val="both"/>
              <w:rPr/>
            </w:pPr>
            <w:r>
              <w:rPr>
                <w:rFonts w:eastAsia="Arial" w:cs="Arial" w:ascii="Arial" w:hAnsi="Arial"/>
                <w:b/>
                <w:sz w:val="24"/>
                <w:szCs w:val="24"/>
                <w:highlight w:val="white"/>
              </w:rPr>
              <w:t>Shell</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Sebregts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