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Заместителю Председателя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"QazTech Ventures"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Бексолтан Д А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Диас</w:t>
      </w:r>
      <w:r>
        <w:rPr>
          <w:rFonts w:eastAsia="Arimo" w:cs="Arimo" w:ascii="arimo" w:hAnsi="arimo"/>
          <w:b/>
          <w:sz w:val="24"/>
          <w:szCs w:val="24"/>
        </w:rPr>
        <w:t xml:space="preserve"> Аскарович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