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color w:val="0D3F78"/>
          <w:sz w:val="22"/>
        </w:rPr>
        <w:t>CÔNG TY POLYMIND</w:t>
      </w:r>
    </w:p>
    <w:p>
      <w:pPr>
        <w:spacing w:before="40" w:after="40"/>
        <w:jc w:val="center"/>
      </w:pPr>
      <w:r>
        <w:rPr>
          <w:b/>
          <w:i w:val="0"/>
          <w:color w:val="0D3F78"/>
          <w:sz w:val="31"/>
        </w:rPr>
        <w:t>PHẢN HỒI GÓP Ý VỀ HỆ THỐNG QUẢN LÝ NỘI BỘ POLYMIND OLMS</w:t>
      </w:r>
    </w:p>
    <w:p>
      <w:pPr>
        <w:spacing w:before="0" w:after="200"/>
        <w:jc w:val="center"/>
      </w:pPr>
      <w:r>
        <w:rPr>
          <w:b w:val="0"/>
          <w:i/>
          <w:color w:val="5B6B80"/>
          <w:sz w:val="22"/>
        </w:rPr>
        <w:t>(Phản hồi Báo cáo đóng góp ý kiến của Công ty Vietgroup Edu — ông Lê Trường Giang, ngày 01/07/2026)</w:t>
      </w:r>
    </w:p>
    <w:p>
      <w:pPr>
        <w:spacing w:after="200"/>
        <w:jc w:val="both"/>
      </w:pPr>
      <w:r>
        <w:rPr>
          <w:b/>
        </w:rPr>
        <w:t>Kính gửi Quý anh chị em Công ty Vietgroup Edu,</w:t>
      </w:r>
    </w:p>
    <w:p>
      <w:pPr>
        <w:spacing w:after="240"/>
        <w:jc w:val="both"/>
      </w:pPr>
      <w:r>
        <w:t>Chúng tôi chân thành cảm ơn những góp ý rất sát thực tế và tâm huyết của Quý công ty sau khi trải nghiệm hệ thống. Toàn bộ các nội dung được nêu đã được tiếp thu và triển khai chỉnh sửa. Dưới đây là phản hồi theo đúng bốn nhóm nội dung mà Quý công ty đã trình bày, nêu rõ với mỗi ý kiến chúng tôi đã điều chỉnh được những gì.</w:t>
      </w:r>
    </w:p>
    <w:p>
      <w:pPr>
        <w:spacing w:before="280" w:after="120"/>
      </w:pPr>
      <w:r>
        <w:rPr>
          <w:b/>
          <w:color w:val="0D3F78"/>
          <w:sz w:val="27"/>
        </w:rPr>
        <w:t>1. Về bảo mật hệ thống</w:t>
      </w:r>
    </w:p>
    <w:p>
      <w:pPr>
        <w:spacing w:after="40"/>
      </w:pPr>
      <w:r>
        <w:rPr>
          <w:b/>
          <w:color w:val="5B6B80"/>
        </w:rPr>
        <w:t xml:space="preserve">• Góp ý: </w:t>
      </w:r>
      <w:r>
        <w:rPr>
          <w:i/>
          <w:color w:val="5B6B80"/>
        </w:rPr>
        <w:t>Trang đăng nhập chỉ có email/mật khẩu, chưa có xác thực hai lớp (2FA/OTP) và cơ chế chống dò mật khẩu.</w:t>
      </w:r>
    </w:p>
    <w:p>
      <w:pPr>
        <w:spacing w:after="200"/>
        <w:ind w:left="259"/>
      </w:pPr>
      <w:r>
        <w:rPr>
          <w:b/>
          <w:color w:val="1B7A3D"/>
        </w:rPr>
        <w:t xml:space="preserve">→ Đã bổ sung: </w:t>
      </w:r>
      <w:r>
        <w:t>Đã bổ sung xác thực hai lớp bằng mã OTP qua ứng dụng Authenticator (Google/Microsoft Authenticator), áp dụng BẮT BUỘC cho mọi tài khoản: lần đăng nhập tới, mỗi tài khoản được yêu cầu quét mã QR để cài đặt và được cấp 8 mã khôi phục dùng khi mất điện thoại. Từ lần sau, sau khi nhập đúng mật khẩu hệ thống yêu cầu nhập thêm mã 6 số. Đồng thời đã có cơ chế chống dò mật khẩu: nhập sai 5 lần liên tiếp sẽ khóa tài khoản 15 phút.</w:t>
      </w:r>
    </w:p>
    <w:p>
      <w:pPr>
        <w:spacing w:after="40"/>
      </w:pPr>
      <w:r>
        <w:rPr>
          <w:b/>
          <w:color w:val="5B6B80"/>
        </w:rPr>
        <w:t xml:space="preserve">• Góp ý: </w:t>
      </w:r>
      <w:r>
        <w:rPr>
          <w:i/>
          <w:color w:val="5B6B80"/>
        </w:rPr>
        <w:t>Thao tác chuyển vai trò (phân quyền) chưa có bước xác nhận, dễ thao tác nhầm, nguy hiểm nếu vô tình nâng quyền Super Admin.</w:t>
      </w:r>
    </w:p>
    <w:p>
      <w:pPr>
        <w:spacing w:after="200"/>
        <w:ind w:left="259"/>
      </w:pPr>
      <w:r>
        <w:rPr>
          <w:b/>
          <w:color w:val="1B7A3D"/>
        </w:rPr>
        <w:t xml:space="preserve">→ Đã bổ sung: </w:t>
      </w:r>
      <w:r>
        <w:t>Việc đổi vai trò của một tài khoản nay bắt buộc phải xác nhận qua hộp thoại nhập lại mật khẩu của chính người thao tác. Riêng tài khoản Super Admin được khóa cố định (hiển thị nhãn “Cố định”, không còn ô chọn vai trò và nút “Lưu Role”) nên không ai có thể vô tình đổi vai trò của Super Admin. Mọi thao tác đổi quyền đều được ghi lại vào nhật ký thao tác.</w:t>
      </w:r>
    </w:p>
    <w:p>
      <w:pPr>
        <w:spacing w:after="40"/>
      </w:pPr>
      <w:r>
        <w:rPr>
          <w:b/>
          <w:color w:val="5B6B80"/>
        </w:rPr>
        <w:t xml:space="preserve">• Góp ý: </w:t>
      </w:r>
      <w:r>
        <w:rPr>
          <w:i/>
          <w:color w:val="5B6B80"/>
        </w:rPr>
        <w:t>Hệ thống chỉ có một tài khoản Super Admin duy nhất, cần có tài khoản Super Admin dự phòng và cơ chế khôi phục quyền.</w:t>
      </w:r>
    </w:p>
    <w:p>
      <w:pPr>
        <w:spacing w:after="200"/>
        <w:ind w:left="259"/>
      </w:pPr>
      <w:r>
        <w:rPr>
          <w:b/>
          <w:color w:val="1B7A3D"/>
        </w:rPr>
        <w:t xml:space="preserve">→ Đã bổ sung: </w:t>
      </w:r>
      <w:r>
        <w:t>Đã hỗ trợ tạo thêm tài khoản Super Admin dự phòng (mỗi tài khoản đều bật 2FA riêng). Bên cạnh đó, trong trang Quản trị, Super Admin có thêm chức năng “Đặt lại 2FA” cho nhân viên khi họ mất điện thoại, giúp khôi phục quyền truy cập an toàn mà không cần can thiệp kỹ thuật.</w:t>
      </w:r>
    </w:p>
    <w:p>
      <w:pPr>
        <w:spacing w:before="280" w:after="120"/>
      </w:pPr>
      <w:r>
        <w:rPr>
          <w:b/>
          <w:color w:val="0D3F78"/>
          <w:sz w:val="27"/>
        </w:rPr>
        <w:t>2. Về hiển thị và trải nghiệm người dùng</w:t>
      </w:r>
    </w:p>
    <w:p>
      <w:pPr>
        <w:spacing w:after="40"/>
      </w:pPr>
      <w:r>
        <w:rPr>
          <w:b/>
          <w:color w:val="5B6B80"/>
        </w:rPr>
        <w:t xml:space="preserve">• Góp ý: </w:t>
      </w:r>
      <w:r>
        <w:rPr>
          <w:i/>
          <w:color w:val="5B6B80"/>
        </w:rPr>
        <w:t>Phân hệ Jobs chưa hiển thị ngày đăng và ngày hết hạn ứng tuyển.</w:t>
      </w:r>
    </w:p>
    <w:p>
      <w:pPr>
        <w:spacing w:after="200"/>
        <w:ind w:left="259"/>
      </w:pPr>
      <w:r>
        <w:rPr>
          <w:b/>
          <w:color w:val="1B7A3D"/>
        </w:rPr>
        <w:t xml:space="preserve">→ Đã cập nhật: </w:t>
      </w:r>
      <w:r>
        <w:t>Mỗi đơn hàng (job) nay có đầy đủ Ngày đăng và Ngày hết hạn ứng tuyển, hiển thị ngay trên thẻ đơn hàng. Đơn còn hạn dưới 7 ngày hoặc đã quá hạn được tô màu đỏ để nhắc. Đặc biệt, đơn hàng đã hết hạn ứng tuyển sẽ không cho gắn thêm ứng viên, tránh việc tư vấn nhầm các đơn đã hết hiệu lực.</w:t>
      </w:r>
    </w:p>
    <w:p>
      <w:pPr>
        <w:spacing w:after="40"/>
      </w:pPr>
      <w:r>
        <w:rPr>
          <w:b/>
          <w:color w:val="5B6B80"/>
        </w:rPr>
        <w:t xml:space="preserve">• Góp ý: </w:t>
      </w:r>
      <w:r>
        <w:rPr>
          <w:i/>
          <w:color w:val="5B6B80"/>
        </w:rPr>
        <w:t>Nên phân loại theo nhóm việc làm: việc làm trong nước, việc làm ngoài nước và du học.</w:t>
      </w:r>
    </w:p>
    <w:p>
      <w:pPr>
        <w:spacing w:after="200"/>
        <w:ind w:left="259"/>
      </w:pPr>
      <w:r>
        <w:rPr>
          <w:b/>
          <w:color w:val="1B7A3D"/>
        </w:rPr>
        <w:t xml:space="preserve">→ Đã cập nhật: </w:t>
      </w:r>
      <w:r>
        <w:t>Phân hệ Jobs đã được phân theo ba nhóm: Việc làm trong nước – Việc làm ngoài nước – Du học, tách thành từng khu vực riêng kèm hai bộ lọc song song (Phân nhóm và Quốc gia) để tra cứu nhanh. Cờ quốc gia được hiển thị bằng hình ảnh trực quan trên cả trang Jobs, danh sách ứng viên và tài chính.</w:t>
      </w:r>
    </w:p>
    <w:p>
      <w:pPr>
        <w:spacing w:before="280" w:after="120"/>
      </w:pPr>
      <w:r>
        <w:rPr>
          <w:b/>
          <w:color w:val="0D3F78"/>
          <w:sz w:val="27"/>
        </w:rPr>
        <w:t>3. Về quy trình vận hành — Quy trình 20 bước</w:t>
      </w:r>
    </w:p>
    <w:p>
      <w:pPr>
        <w:spacing w:before="0" w:after="160"/>
        <w:jc w:val="both"/>
      </w:pPr>
      <w:r>
        <w:rPr>
          <w:b w:val="0"/>
          <w:i w:val="0"/>
          <w:sz w:val="24"/>
        </w:rPr>
        <w:t>Đã áp dụng đầy đủ quy trình 20 bước theo đúng đề xuất của Quý công ty (thay cho quy trình 17 bước cũ), tại trang chi tiết ứng viên. Bảng dưới đây là quy trình 20 bước đã được cập nhật vào hệ thống:</w:t>
      </w:r>
    </w:p>
    <w:tbl>
      <w:tblPr>
        <w:tblStyle w:val="TableGrid"/>
        <w:tblW w:type="auto" w:w="0"/>
        <w:jc w:val="center"/>
        <w:tblLook w:firstColumn="1" w:firstRow="1" w:lastColumn="0" w:lastRow="0" w:noHBand="0" w:noVBand="1" w:val="04A0"/>
      </w:tblPr>
      <w:tblGrid>
        <w:gridCol w:w="1008"/>
        <w:gridCol w:w="7632"/>
      </w:tblGrid>
      <w:tr>
        <w:tc>
          <w:tcPr>
            <w:tcW w:type="dxa" w:w="4320"/>
            <w:shd w:val="clear" w:color="auto" w:fill="0D3F78"/>
          </w:tcPr>
          <w:p>
            <w:pPr>
              <w:jc w:val="center"/>
            </w:pPr>
            <w:r>
              <w:rPr>
                <w:b/>
                <w:color w:val="FFFFFF"/>
                <w:sz w:val="22"/>
              </w:rPr>
              <w:t>STT</w:t>
            </w:r>
          </w:p>
        </w:tc>
        <w:tc>
          <w:tcPr>
            <w:tcW w:type="dxa" w:w="4320"/>
            <w:shd w:val="clear" w:color="auto" w:fill="0D3F78"/>
          </w:tcPr>
          <w:p>
            <w:pPr>
              <w:jc w:val="left"/>
            </w:pPr>
            <w:r>
              <w:rPr>
                <w:b/>
                <w:color w:val="FFFFFF"/>
                <w:sz w:val="22"/>
              </w:rPr>
              <w:t>Quy trình 20 bước (đã cập nhật vào hệ thống)</w:t>
            </w:r>
          </w:p>
        </w:tc>
      </w:tr>
      <w:tr>
        <w:tc>
          <w:tcPr>
            <w:tcW w:type="dxa" w:w="1008"/>
          </w:tcPr>
          <w:p>
            <w:pPr>
              <w:jc w:val="center"/>
            </w:pPr>
            <w:r>
              <w:rPr>
                <w:sz w:val="22"/>
              </w:rPr>
              <w:t>1</w:t>
            </w:r>
          </w:p>
        </w:tc>
        <w:tc>
          <w:tcPr>
            <w:tcW w:type="dxa" w:w="7632"/>
          </w:tcPr>
          <w:p>
            <w:r>
              <w:rPr>
                <w:sz w:val="22"/>
              </w:rPr>
              <w:t>Lead mới</w:t>
            </w:r>
          </w:p>
        </w:tc>
      </w:tr>
      <w:tr>
        <w:tc>
          <w:tcPr>
            <w:tcW w:type="dxa" w:w="1008"/>
          </w:tcPr>
          <w:p>
            <w:pPr>
              <w:jc w:val="center"/>
            </w:pPr>
            <w:r>
              <w:rPr>
                <w:sz w:val="22"/>
              </w:rPr>
              <w:t>2</w:t>
            </w:r>
          </w:p>
        </w:tc>
        <w:tc>
          <w:tcPr>
            <w:tcW w:type="dxa" w:w="7632"/>
          </w:tcPr>
          <w:p>
            <w:r>
              <w:rPr>
                <w:b/>
                <w:color w:val="0D3F78"/>
                <w:sz w:val="22"/>
              </w:rPr>
              <w:t>Đã liên hệ / Liên hệ lại</w:t>
            </w:r>
          </w:p>
        </w:tc>
      </w:tr>
      <w:tr>
        <w:tc>
          <w:tcPr>
            <w:tcW w:type="dxa" w:w="1008"/>
          </w:tcPr>
          <w:p>
            <w:pPr>
              <w:jc w:val="center"/>
            </w:pPr>
            <w:r>
              <w:rPr>
                <w:sz w:val="22"/>
              </w:rPr>
              <w:t>3</w:t>
            </w:r>
          </w:p>
        </w:tc>
        <w:tc>
          <w:tcPr>
            <w:tcW w:type="dxa" w:w="7632"/>
          </w:tcPr>
          <w:p>
            <w:r>
              <w:rPr>
                <w:b/>
                <w:color w:val="0D3F78"/>
                <w:sz w:val="22"/>
              </w:rPr>
              <w:t>Đã tư vấn</w:t>
            </w:r>
          </w:p>
        </w:tc>
      </w:tr>
      <w:tr>
        <w:tc>
          <w:tcPr>
            <w:tcW w:type="dxa" w:w="1008"/>
          </w:tcPr>
          <w:p>
            <w:pPr>
              <w:jc w:val="center"/>
            </w:pPr>
            <w:r>
              <w:rPr>
                <w:sz w:val="22"/>
              </w:rPr>
              <w:t>4</w:t>
            </w:r>
          </w:p>
        </w:tc>
        <w:tc>
          <w:tcPr>
            <w:tcW w:type="dxa" w:w="7632"/>
          </w:tcPr>
          <w:p>
            <w:r>
              <w:rPr>
                <w:sz w:val="22"/>
              </w:rPr>
              <w:t>Đăng ký</w:t>
            </w:r>
          </w:p>
        </w:tc>
      </w:tr>
      <w:tr>
        <w:tc>
          <w:tcPr>
            <w:tcW w:type="dxa" w:w="1008"/>
          </w:tcPr>
          <w:p>
            <w:pPr>
              <w:jc w:val="center"/>
            </w:pPr>
            <w:r>
              <w:rPr>
                <w:sz w:val="22"/>
              </w:rPr>
              <w:t>5</w:t>
            </w:r>
          </w:p>
        </w:tc>
        <w:tc>
          <w:tcPr>
            <w:tcW w:type="dxa" w:w="7632"/>
          </w:tcPr>
          <w:p>
            <w:r>
              <w:rPr>
                <w:sz w:val="22"/>
              </w:rPr>
              <w:t>Đặt cọc</w:t>
            </w:r>
          </w:p>
        </w:tc>
      </w:tr>
      <w:tr>
        <w:tc>
          <w:tcPr>
            <w:tcW w:type="dxa" w:w="1008"/>
          </w:tcPr>
          <w:p>
            <w:pPr>
              <w:jc w:val="center"/>
            </w:pPr>
            <w:r>
              <w:rPr>
                <w:sz w:val="22"/>
              </w:rPr>
              <w:t>6</w:t>
            </w:r>
          </w:p>
        </w:tc>
        <w:tc>
          <w:tcPr>
            <w:tcW w:type="dxa" w:w="7632"/>
          </w:tcPr>
          <w:p>
            <w:r>
              <w:rPr>
                <w:sz w:val="22"/>
              </w:rPr>
              <w:t>Hoàn thiện hồ sơ</w:t>
            </w:r>
          </w:p>
        </w:tc>
      </w:tr>
      <w:tr>
        <w:tc>
          <w:tcPr>
            <w:tcW w:type="dxa" w:w="1008"/>
          </w:tcPr>
          <w:p>
            <w:pPr>
              <w:jc w:val="center"/>
            </w:pPr>
            <w:r>
              <w:rPr>
                <w:sz w:val="22"/>
              </w:rPr>
              <w:t>7</w:t>
            </w:r>
          </w:p>
        </w:tc>
        <w:tc>
          <w:tcPr>
            <w:tcW w:type="dxa" w:w="7632"/>
          </w:tcPr>
          <w:p>
            <w:r>
              <w:rPr>
                <w:sz w:val="22"/>
              </w:rPr>
              <w:t>Khám sức khỏe</w:t>
            </w:r>
          </w:p>
        </w:tc>
      </w:tr>
      <w:tr>
        <w:tc>
          <w:tcPr>
            <w:tcW w:type="dxa" w:w="1008"/>
          </w:tcPr>
          <w:p>
            <w:pPr>
              <w:jc w:val="center"/>
            </w:pPr>
            <w:r>
              <w:rPr>
                <w:sz w:val="22"/>
              </w:rPr>
              <w:t>8</w:t>
            </w:r>
          </w:p>
        </w:tc>
        <w:tc>
          <w:tcPr>
            <w:tcW w:type="dxa" w:w="7632"/>
          </w:tcPr>
          <w:p>
            <w:r>
              <w:rPr>
                <w:sz w:val="22"/>
              </w:rPr>
              <w:t>Thi tuyển / Phỏng vấn / Xét duyệt hồ sơ</w:t>
            </w:r>
          </w:p>
        </w:tc>
      </w:tr>
      <w:tr>
        <w:tc>
          <w:tcPr>
            <w:tcW w:type="dxa" w:w="1008"/>
          </w:tcPr>
          <w:p>
            <w:pPr>
              <w:jc w:val="center"/>
            </w:pPr>
            <w:r>
              <w:rPr>
                <w:sz w:val="22"/>
              </w:rPr>
              <w:t>9</w:t>
            </w:r>
          </w:p>
        </w:tc>
        <w:tc>
          <w:tcPr>
            <w:tcW w:type="dxa" w:w="7632"/>
          </w:tcPr>
          <w:p>
            <w:r>
              <w:rPr>
                <w:sz w:val="22"/>
              </w:rPr>
              <w:t>Trúng tuyển</w:t>
            </w:r>
          </w:p>
        </w:tc>
      </w:tr>
      <w:tr>
        <w:tc>
          <w:tcPr>
            <w:tcW w:type="dxa" w:w="1008"/>
          </w:tcPr>
          <w:p>
            <w:pPr>
              <w:jc w:val="center"/>
            </w:pPr>
            <w:r>
              <w:rPr>
                <w:sz w:val="22"/>
              </w:rPr>
              <w:t>10</w:t>
            </w:r>
          </w:p>
        </w:tc>
        <w:tc>
          <w:tcPr>
            <w:tcW w:type="dxa" w:w="7632"/>
          </w:tcPr>
          <w:p>
            <w:r>
              <w:rPr>
                <w:b/>
                <w:color w:val="0D3F78"/>
                <w:sz w:val="22"/>
              </w:rPr>
              <w:t>Học tiếng / Học định hướng / Học nghề (nếu cần)</w:t>
            </w:r>
          </w:p>
        </w:tc>
      </w:tr>
      <w:tr>
        <w:tc>
          <w:tcPr>
            <w:tcW w:type="dxa" w:w="1008"/>
          </w:tcPr>
          <w:p>
            <w:pPr>
              <w:jc w:val="center"/>
            </w:pPr>
            <w:r>
              <w:rPr>
                <w:sz w:val="22"/>
              </w:rPr>
              <w:t>11</w:t>
            </w:r>
          </w:p>
        </w:tc>
        <w:tc>
          <w:tcPr>
            <w:tcW w:type="dxa" w:w="7632"/>
          </w:tcPr>
          <w:p>
            <w:r>
              <w:rPr>
                <w:sz w:val="22"/>
              </w:rPr>
              <w:t>Ký hợp đồng</w:t>
            </w:r>
          </w:p>
        </w:tc>
      </w:tr>
      <w:tr>
        <w:tc>
          <w:tcPr>
            <w:tcW w:type="dxa" w:w="1008"/>
          </w:tcPr>
          <w:p>
            <w:pPr>
              <w:jc w:val="center"/>
            </w:pPr>
            <w:r>
              <w:rPr>
                <w:sz w:val="22"/>
              </w:rPr>
              <w:t>12</w:t>
            </w:r>
          </w:p>
        </w:tc>
        <w:tc>
          <w:tcPr>
            <w:tcW w:type="dxa" w:w="7632"/>
          </w:tcPr>
          <w:p>
            <w:r>
              <w:rPr>
                <w:b/>
                <w:color w:val="0D3F78"/>
                <w:sz w:val="22"/>
              </w:rPr>
              <w:t>Xin COE (Tư cách lưu trú)</w:t>
            </w:r>
          </w:p>
        </w:tc>
      </w:tr>
      <w:tr>
        <w:tc>
          <w:tcPr>
            <w:tcW w:type="dxa" w:w="1008"/>
          </w:tcPr>
          <w:p>
            <w:pPr>
              <w:jc w:val="center"/>
            </w:pPr>
            <w:r>
              <w:rPr>
                <w:sz w:val="22"/>
              </w:rPr>
              <w:t>13</w:t>
            </w:r>
          </w:p>
        </w:tc>
        <w:tc>
          <w:tcPr>
            <w:tcW w:type="dxa" w:w="7632"/>
          </w:tcPr>
          <w:p>
            <w:r>
              <w:rPr>
                <w:sz w:val="22"/>
              </w:rPr>
              <w:t>Nộp hồ sơ Visa</w:t>
            </w:r>
          </w:p>
        </w:tc>
      </w:tr>
      <w:tr>
        <w:tc>
          <w:tcPr>
            <w:tcW w:type="dxa" w:w="1008"/>
          </w:tcPr>
          <w:p>
            <w:pPr>
              <w:jc w:val="center"/>
            </w:pPr>
            <w:r>
              <w:rPr>
                <w:sz w:val="22"/>
              </w:rPr>
              <w:t>14</w:t>
            </w:r>
          </w:p>
        </w:tc>
        <w:tc>
          <w:tcPr>
            <w:tcW w:type="dxa" w:w="7632"/>
          </w:tcPr>
          <w:p>
            <w:r>
              <w:rPr>
                <w:sz w:val="22"/>
              </w:rPr>
              <w:t>Đậu Visa</w:t>
            </w:r>
          </w:p>
        </w:tc>
      </w:tr>
      <w:tr>
        <w:tc>
          <w:tcPr>
            <w:tcW w:type="dxa" w:w="1008"/>
          </w:tcPr>
          <w:p>
            <w:pPr>
              <w:jc w:val="center"/>
            </w:pPr>
            <w:r>
              <w:rPr>
                <w:sz w:val="22"/>
              </w:rPr>
              <w:t>15</w:t>
            </w:r>
          </w:p>
        </w:tc>
        <w:tc>
          <w:tcPr>
            <w:tcW w:type="dxa" w:w="7632"/>
          </w:tcPr>
          <w:p>
            <w:r>
              <w:rPr>
                <w:b/>
                <w:color w:val="0D3F78"/>
                <w:sz w:val="22"/>
              </w:rPr>
              <w:t>Thanh toán hoàn tất / Cam kết trả nợ</w:t>
            </w:r>
          </w:p>
        </w:tc>
      </w:tr>
      <w:tr>
        <w:tc>
          <w:tcPr>
            <w:tcW w:type="dxa" w:w="1008"/>
          </w:tcPr>
          <w:p>
            <w:pPr>
              <w:jc w:val="center"/>
            </w:pPr>
            <w:r>
              <w:rPr>
                <w:sz w:val="22"/>
              </w:rPr>
              <w:t>16</w:t>
            </w:r>
          </w:p>
        </w:tc>
        <w:tc>
          <w:tcPr>
            <w:tcW w:type="dxa" w:w="7632"/>
          </w:tcPr>
          <w:p>
            <w:r>
              <w:rPr>
                <w:sz w:val="22"/>
              </w:rPr>
              <w:t>Đặt vé máy bay</w:t>
            </w:r>
          </w:p>
        </w:tc>
      </w:tr>
      <w:tr>
        <w:tc>
          <w:tcPr>
            <w:tcW w:type="dxa" w:w="1008"/>
          </w:tcPr>
          <w:p>
            <w:pPr>
              <w:jc w:val="center"/>
            </w:pPr>
            <w:r>
              <w:rPr>
                <w:sz w:val="22"/>
              </w:rPr>
              <w:t>17</w:t>
            </w:r>
          </w:p>
        </w:tc>
        <w:tc>
          <w:tcPr>
            <w:tcW w:type="dxa" w:w="7632"/>
          </w:tcPr>
          <w:p>
            <w:r>
              <w:rPr>
                <w:sz w:val="22"/>
              </w:rPr>
              <w:t>Xuất cảnh</w:t>
            </w:r>
          </w:p>
        </w:tc>
      </w:tr>
      <w:tr>
        <w:tc>
          <w:tcPr>
            <w:tcW w:type="dxa" w:w="1008"/>
          </w:tcPr>
          <w:p>
            <w:pPr>
              <w:jc w:val="center"/>
            </w:pPr>
            <w:r>
              <w:rPr>
                <w:sz w:val="22"/>
              </w:rPr>
              <w:t>18</w:t>
            </w:r>
          </w:p>
        </w:tc>
        <w:tc>
          <w:tcPr>
            <w:tcW w:type="dxa" w:w="7632"/>
          </w:tcPr>
          <w:p>
            <w:r>
              <w:rPr>
                <w:sz w:val="22"/>
              </w:rPr>
              <w:t>Đến nơi làm việc</w:t>
            </w:r>
          </w:p>
        </w:tc>
      </w:tr>
      <w:tr>
        <w:tc>
          <w:tcPr>
            <w:tcW w:type="dxa" w:w="1008"/>
          </w:tcPr>
          <w:p>
            <w:pPr>
              <w:jc w:val="center"/>
            </w:pPr>
            <w:r>
              <w:rPr>
                <w:sz w:val="22"/>
              </w:rPr>
              <w:t>19</w:t>
            </w:r>
          </w:p>
        </w:tc>
        <w:tc>
          <w:tcPr>
            <w:tcW w:type="dxa" w:w="7632"/>
          </w:tcPr>
          <w:p>
            <w:r>
              <w:rPr>
                <w:b/>
                <w:color w:val="0D3F78"/>
                <w:sz w:val="22"/>
              </w:rPr>
              <w:t>Tương tác giai đoạn xứ người</w:t>
            </w:r>
          </w:p>
        </w:tc>
      </w:tr>
      <w:tr>
        <w:tc>
          <w:tcPr>
            <w:tcW w:type="dxa" w:w="1008"/>
          </w:tcPr>
          <w:p>
            <w:pPr>
              <w:jc w:val="center"/>
            </w:pPr>
            <w:r>
              <w:rPr>
                <w:sz w:val="22"/>
              </w:rPr>
              <w:t>20</w:t>
            </w:r>
          </w:p>
        </w:tc>
        <w:tc>
          <w:tcPr>
            <w:tcW w:type="dxa" w:w="7632"/>
          </w:tcPr>
          <w:p>
            <w:r>
              <w:rPr>
                <w:b/>
                <w:color w:val="0D3F78"/>
                <w:sz w:val="22"/>
              </w:rPr>
              <w:t>Hoàn thành quy trình</w:t>
            </w:r>
          </w:p>
        </w:tc>
      </w:tr>
    </w:tbl>
    <w:p>
      <w:pPr>
        <w:spacing w:before="200" w:after="120"/>
      </w:pPr>
      <w:r>
        <w:rPr>
          <w:b/>
          <w:i w:val="0"/>
          <w:color w:val="10243F"/>
          <w:sz w:val="24"/>
        </w:rPr>
        <w:t>Những thay đổi chính đã thực hiện đúng theo bốn ý Quý công ty nêu:</w:t>
      </w:r>
    </w:p>
    <w:p>
      <w:pPr>
        <w:spacing w:after="40"/>
      </w:pPr>
      <w:r>
        <w:rPr>
          <w:b/>
          <w:color w:val="5B6B80"/>
        </w:rPr>
        <w:t xml:space="preserve">• Góp ý: </w:t>
      </w:r>
      <w:r>
        <w:rPr>
          <w:i/>
          <w:color w:val="5B6B80"/>
        </w:rPr>
        <w:t>Tách bước “Tư vấn” thành “Đã liên hệ” và “Đã tư vấn” để phân biệt trạng thái mới tiếp cận và đã tư vấn xong.</w:t>
      </w:r>
    </w:p>
    <w:p>
      <w:pPr>
        <w:spacing w:after="200"/>
        <w:ind w:left="259"/>
      </w:pPr>
      <w:r>
        <w:rPr>
          <w:b/>
          <w:color w:val="1B7A3D"/>
        </w:rPr>
        <w:t xml:space="preserve">→ Đã thực hiện: </w:t>
      </w:r>
      <w:r>
        <w:t>Bước “Tư vấn” cũ đã được tách thành bước 2 “Đã liên hệ / Liên hệ lại” và bước 3 “Đã tư vấn”, giúp đo lường hiệu quả chăm sóc lead chính xác hơn.</w:t>
      </w:r>
    </w:p>
    <w:p>
      <w:pPr>
        <w:spacing w:after="40"/>
      </w:pPr>
      <w:r>
        <w:rPr>
          <w:b/>
          <w:color w:val="5B6B80"/>
        </w:rPr>
        <w:t xml:space="preserve">• Góp ý: </w:t>
      </w:r>
      <w:r>
        <w:rPr>
          <w:i/>
          <w:color w:val="5B6B80"/>
        </w:rPr>
        <w:t>Học định hướng bổ sung rõ “Học tiếng và học nghề” vào cùng một bước.</w:t>
      </w:r>
    </w:p>
    <w:p>
      <w:pPr>
        <w:spacing w:after="200"/>
        <w:ind w:left="259"/>
      </w:pPr>
      <w:r>
        <w:rPr>
          <w:b/>
          <w:color w:val="1B7A3D"/>
        </w:rPr>
        <w:t xml:space="preserve">→ Đã thực hiện: </w:t>
      </w:r>
      <w:r>
        <w:t>Bước 10 nay là “Học tiếng / Học định hướng / Học nghề (nếu cần)”, cho phép chọn cùng lúc nhiều nội dung đào tạo theo yêu cầu từng đơn hàng, hoặc bỏ qua khi đơn hàng không yêu cầu.</w:t>
      </w:r>
    </w:p>
    <w:p>
      <w:pPr>
        <w:spacing w:after="40"/>
      </w:pPr>
      <w:r>
        <w:rPr>
          <w:b/>
          <w:color w:val="5B6B80"/>
        </w:rPr>
        <w:t xml:space="preserve">• Góp ý: </w:t>
      </w:r>
      <w:r>
        <w:rPr>
          <w:i/>
          <w:color w:val="5B6B80"/>
        </w:rPr>
        <w:t>Bổ sung bước “Xin COE” (Certificate of Enrolment) trước khi nộp hồ sơ Visa — bắt buộc với một số thị trường như Nhật Bản.</w:t>
      </w:r>
    </w:p>
    <w:p>
      <w:pPr>
        <w:spacing w:after="200"/>
        <w:ind w:left="259"/>
      </w:pPr>
      <w:r>
        <w:rPr>
          <w:b/>
          <w:color w:val="1B7A3D"/>
        </w:rPr>
        <w:t xml:space="preserve">→ Đã thực hiện: </w:t>
      </w:r>
      <w:r>
        <w:t>Đã thêm bước 12 “Xin COE (Tư cách lưu trú)” đứng trước bước Nộp hồ sơ Visa, đúng thực tế của các thị trường yêu cầu COE.</w:t>
      </w:r>
    </w:p>
    <w:p>
      <w:pPr>
        <w:spacing w:after="40"/>
      </w:pPr>
      <w:r>
        <w:rPr>
          <w:b/>
          <w:color w:val="5B6B80"/>
        </w:rPr>
        <w:t xml:space="preserve">• Góp ý: </w:t>
      </w:r>
      <w:r>
        <w:rPr>
          <w:i/>
          <w:color w:val="5B6B80"/>
        </w:rPr>
        <w:t>Đổi tên bước cuối để bao quát trường hợp hồ sơ chưa hoàn tất: vay vốn (trả sau ~3 năm), hỗ trợ lấy lại thuế, nối tiếp việc làm trong nước khi về.</w:t>
      </w:r>
    </w:p>
    <w:p>
      <w:pPr>
        <w:spacing w:after="200"/>
        <w:ind w:left="259"/>
      </w:pPr>
      <w:r>
        <w:rPr>
          <w:b/>
          <w:color w:val="1B7A3D"/>
        </w:rPr>
        <w:t xml:space="preserve">→ Đã thực hiện: </w:t>
      </w:r>
      <w:r>
        <w:t>Bước cuối đã đổi thành bước 20 “Hoàn thành quy trình”. Trước đó là bước 19 “Tương tác giai đoạn xứ người” — có nhật ký ghi lại các lần liên hệ, hỗ trợ lao động kéo dài nhiều năm (trả nợ vay, hỗ trợ lấy lại tiền thuế, tái tuyển việc làm trong nước khi về). Hồ sơ chỉ được đánh dấu “Hoàn thành quy trình” khi lao động đã hết nghĩa vụ (khoản vay đã tất toán hoặc không vay, không còn hỗ trợ thuế/tái tuyển đang xử lý).</w:t>
      </w:r>
    </w:p>
    <w:p>
      <w:pPr>
        <w:spacing w:before="0" w:after="160"/>
        <w:jc w:val="both"/>
      </w:pPr>
      <w:r>
        <w:rPr>
          <w:b w:val="0"/>
          <w:i/>
          <w:color w:val="5B6B80"/>
          <w:sz w:val="24"/>
        </w:rPr>
        <w:t>Ngoài ra, để phục vụ đúng nghiệp vụ, hệ thống bổ sung bước phụ 7.5 “Chọn lại đơn hàng khác”: khi ứng viên rớt ở bước 8 (thi trượt / chủ từ chối / hồ sơ bị loại), hồ sơ được giữ nguyên và lùi về bước 7.5 để gắn sang đơn hàng mới rồi tiếp tục quy trình, thay vì phải làm lại hồ sơ từ đầu.</w:t>
      </w:r>
    </w:p>
    <w:p>
      <w:pPr>
        <w:spacing w:before="280" w:after="120"/>
      </w:pPr>
      <w:r>
        <w:rPr>
          <w:b/>
          <w:color w:val="0D3F78"/>
          <w:sz w:val="27"/>
        </w:rPr>
        <w:t>4. Về các kiến nghị chung trong phần kết luận</w:t>
      </w:r>
    </w:p>
    <w:p>
      <w:pPr>
        <w:spacing w:before="0" w:after="160"/>
        <w:jc w:val="both"/>
      </w:pPr>
      <w:r>
        <w:rPr>
          <w:b w:val="0"/>
          <w:i w:val="0"/>
          <w:sz w:val="24"/>
        </w:rPr>
        <w:t>Đối chiếu với sáu kiến nghị Quý công ty tổng hợp ở phần kết luận, hiện trạng như sau:</w:t>
      </w:r>
    </w:p>
    <w:p>
      <w:pPr>
        <w:spacing w:after="40"/>
      </w:pPr>
      <w:r>
        <w:rPr>
          <w:b/>
          <w:color w:val="5B6B80"/>
        </w:rPr>
        <w:t xml:space="preserve">• Góp ý: </w:t>
      </w:r>
      <w:r>
        <w:rPr>
          <w:i/>
          <w:color w:val="5B6B80"/>
        </w:rPr>
        <w:t>Bổ sung xác thực hai lớp (2FA) và cơ chế xác nhận khi thay đổi phân quyền tài khoản.</w:t>
      </w:r>
    </w:p>
    <w:p>
      <w:pPr>
        <w:spacing w:after="200"/>
        <w:ind w:left="259"/>
      </w:pPr>
      <w:r>
        <w:rPr>
          <w:b/>
          <w:color w:val="1B7A3D"/>
        </w:rPr>
        <w:t xml:space="preserve">→ Đã hoàn thành: </w:t>
      </w:r>
      <w:r>
        <w:t>Đã hoàn thành như trình bày ở mục 1.</w:t>
      </w:r>
    </w:p>
    <w:p>
      <w:pPr>
        <w:spacing w:after="40"/>
      </w:pPr>
      <w:r>
        <w:rPr>
          <w:b/>
          <w:color w:val="5B6B80"/>
        </w:rPr>
        <w:t xml:space="preserve">• Góp ý: </w:t>
      </w:r>
      <w:r>
        <w:rPr>
          <w:i/>
          <w:color w:val="5B6B80"/>
        </w:rPr>
        <w:t>Kết nối AI vào phần LEAD ban đầu để nhắc chăm sóc (ví dụ: lead 48 giờ chưa gọi lại...).</w:t>
      </w:r>
    </w:p>
    <w:p>
      <w:pPr>
        <w:spacing w:after="200"/>
        <w:ind w:left="259"/>
      </w:pPr>
      <w:r>
        <w:rPr>
          <w:b/>
          <w:color w:val="1B7A3D"/>
        </w:rPr>
        <w:t xml:space="preserve">→ Đã hoàn thành: </w:t>
      </w:r>
      <w:r>
        <w:t>Đã triển khai cơ chế tự động nhắc chăm sóc lead theo ngưỡng thời gian: khi một lead đứng yên quá lâu ở một trạng thái (ví dụ đã liên hệ/quan tâm quá 48 giờ, lead mới quá 24 giờ...), hệ thống tự gửi thông báo cho tư vấn viên phụ trách và trưởng phòng, kèm chuông cảnh báo đỏ ngay tại danh sách Lead. Cơ chế này chạy tự động theo quy tắc nên nhắc chính xác, ổn định và không phát sinh chi phí AI.</w:t>
      </w:r>
    </w:p>
    <w:p>
      <w:pPr>
        <w:spacing w:after="40"/>
      </w:pPr>
      <w:r>
        <w:rPr>
          <w:b/>
          <w:color w:val="5B6B80"/>
        </w:rPr>
        <w:t xml:space="preserve">• Góp ý: </w:t>
      </w:r>
      <w:r>
        <w:rPr>
          <w:i/>
          <w:color w:val="5B6B80"/>
        </w:rPr>
        <w:t>Thiết lập tài khoản Super Admin dự phòng và quy trình khôi phục quyền quản trị.</w:t>
      </w:r>
    </w:p>
    <w:p>
      <w:pPr>
        <w:spacing w:after="200"/>
        <w:ind w:left="259"/>
      </w:pPr>
      <w:r>
        <w:rPr>
          <w:b/>
          <w:color w:val="1B7A3D"/>
        </w:rPr>
        <w:t xml:space="preserve">→ Đã hoàn thành: </w:t>
      </w:r>
      <w:r>
        <w:t>Đã hoàn thành như trình bày ở mục 1 (tạo Super Admin dự phòng và chức năng đặt lại 2FA để khôi phục quyền).</w:t>
      </w:r>
    </w:p>
    <w:p>
      <w:pPr>
        <w:spacing w:after="40"/>
      </w:pPr>
      <w:r>
        <w:rPr>
          <w:b/>
          <w:color w:val="5B6B80"/>
        </w:rPr>
        <w:t xml:space="preserve">• Góp ý: </w:t>
      </w:r>
      <w:r>
        <w:rPr>
          <w:i/>
          <w:color w:val="5B6B80"/>
        </w:rPr>
        <w:t>Bổ sung hiển thị ngày đăng/hết hạn và phân nhóm cho phân hệ Jobs.</w:t>
      </w:r>
    </w:p>
    <w:p>
      <w:pPr>
        <w:spacing w:after="200"/>
        <w:ind w:left="259"/>
      </w:pPr>
      <w:r>
        <w:rPr>
          <w:b/>
          <w:color w:val="1B7A3D"/>
        </w:rPr>
        <w:t xml:space="preserve">→ Đã hoàn thành: </w:t>
      </w:r>
      <w:r>
        <w:t>Đã hoàn thành như trình bày ở mục 2.</w:t>
      </w:r>
    </w:p>
    <w:p>
      <w:pPr>
        <w:spacing w:after="40"/>
      </w:pPr>
      <w:r>
        <w:rPr>
          <w:b/>
          <w:color w:val="5B6B80"/>
        </w:rPr>
        <w:t xml:space="preserve">• Góp ý: </w:t>
      </w:r>
      <w:r>
        <w:rPr>
          <w:i/>
          <w:color w:val="5B6B80"/>
        </w:rPr>
        <w:t>Xem xét áp dụng quy trình 20 bước kiến nghị để theo dõi tiến độ hồ sơ chính xác và chi tiết hơn.</w:t>
      </w:r>
    </w:p>
    <w:p>
      <w:pPr>
        <w:spacing w:after="200"/>
        <w:ind w:left="259"/>
      </w:pPr>
      <w:r>
        <w:rPr>
          <w:b/>
          <w:color w:val="1B7A3D"/>
        </w:rPr>
        <w:t xml:space="preserve">→ Đã hoàn thành: </w:t>
      </w:r>
      <w:r>
        <w:t>Đã hoàn thành như trình bày ở mục 3.</w:t>
      </w:r>
    </w:p>
    <w:p>
      <w:pPr>
        <w:spacing w:after="40"/>
      </w:pPr>
      <w:r>
        <w:rPr>
          <w:b/>
          <w:color w:val="5B6B80"/>
        </w:rPr>
        <w:t xml:space="preserve">• Góp ý: </w:t>
      </w:r>
      <w:r>
        <w:rPr>
          <w:i/>
          <w:color w:val="5B6B80"/>
        </w:rPr>
        <w:t>Nên gắn kết lao động không chỉ khi lao động bay xong mà còn khi làm việc và quay về nước.</w:t>
      </w:r>
    </w:p>
    <w:p>
      <w:pPr>
        <w:spacing w:after="200"/>
        <w:ind w:left="259"/>
      </w:pPr>
      <w:r>
        <w:rPr>
          <w:b/>
          <w:color w:val="1B7A3D"/>
        </w:rPr>
        <w:t xml:space="preserve">→ Đã hoàn thành: </w:t>
      </w:r>
      <w:r>
        <w:t>Đã hoàn thành thông qua bước 18 “Đến nơi làm việc”, bước 19 “Tương tác giai đoạn xứ người” (nhật ký hỗ trợ dài hạn) và bước 20 “Hoàn thành quy trình”, gắn kết lao động xuyên suốt cả giai đoạn làm việc ở nước ngoài và khi trở về nước.</w:t>
      </w:r>
    </w:p>
    <w:p>
      <w:pPr>
        <w:spacing w:before="240" w:after="80"/>
        <w:jc w:val="both"/>
      </w:pPr>
      <w:r>
        <w:t>Một lần nữa, chúng tôi trân trọng cảm ơn những góp ý quý báu của Quý anh chị em Công ty Vietgroup Edu. Toàn bộ các nội dung nêu trên đã được cập nhật vào hệ thống và sẵn sàng để Quý công ty trải nghiệm lại.</w:t>
      </w:r>
    </w:p>
    <w:p>
      <w:pPr>
        <w:spacing w:before="120" w:after="0"/>
      </w:pPr>
      <w:r>
        <w:rPr>
          <w:b/>
          <w:i w:val="0"/>
          <w:color w:val="0D3F78"/>
          <w:sz w:val="24"/>
        </w:rPr>
        <w:t>Trân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