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14/07/2026  •  Tổng quan hệ thống và kế hoạch kiểm tra</w:t>
      </w:r>
    </w:p>
    <w:p>
      <w:pPr>
        <w:pStyle w:val="Heading2"/>
        <w:keepNext/>
      </w:pPr>
      <w:r>
        <w:t>1. Nội dung kiểm tra trong ngày</w:t>
      </w:r>
    </w:p>
    <w:p>
      <w:pPr>
        <w:pStyle w:val="ListBullet"/>
        <w:spacing w:after="40" w:line="247" w:lineRule="auto"/>
      </w:pPr>
      <w:r>
        <w:t>Rà soát phạm vi các nhóm công việc chính: tiếp nhận người quan tâm, quản lý ứng viên, đơn hàng, đào tạo, tài chính, thị thực, xuất cảnh và báo cáo.</w:t>
      </w:r>
    </w:p>
    <w:p>
      <w:pPr>
        <w:pStyle w:val="ListBullet"/>
        <w:spacing w:after="40" w:line="247" w:lineRule="auto"/>
      </w:pPr>
      <w:r>
        <w:t>Đối chiếu tình trạng các vấn đề đã phát hiện, nội dung đã điều chỉnh và những phần còn cần xác nhận khi thao tác trực tiếp.</w:t>
      </w:r>
    </w:p>
    <w:p>
      <w:pPr>
        <w:pStyle w:val="ListBullet"/>
        <w:spacing w:after="40" w:line="247" w:lineRule="auto"/>
      </w:pPr>
      <w:r>
        <w:t>Sắp xếp thứ tự kiểm tra theo hành trình nghiệp vụ để các báo cáo sau có tính tiếp nối và dễ theo dõi.</w:t>
      </w:r>
    </w:p>
    <w:p>
      <w:pPr>
        <w:pStyle w:val="Heading2"/>
        <w:keepNext/>
      </w:pPr>
      <w:r>
        <w:t>2. Mục tiêu kiểm tra</w:t>
      </w:r>
    </w:p>
    <w:p>
      <w:r>
        <w:t>Giúp cấp quản lý có cái nhìn chung về phạm vi POLYMIND đang hỗ trợ và hiểu đúng mức độ chắc chắn của kết quả. Việc này cũng giúp ưu tiên các khu vực có ảnh hưởng trực tiếp đến dữ liệu ứng viên, tiền, trách nhiệm xử lý và tiến độ xuất cảnh.</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Phạm vi đã rà soát</w:t>
            </w:r>
          </w:p>
        </w:tc>
        <w:tc>
          <w:tcPr>
            <w:tcW w:type="dxa" w:w="6350"/>
            <w:tcMar>
              <w:top w:w="80" w:type="dxa"/>
              <w:start w:w="100" w:type="dxa"/>
              <w:bottom w:w="80" w:type="dxa"/>
              <w:end w:w="100" w:type="dxa"/>
            </w:tcMar>
            <w:vAlign w:val="center"/>
          </w:tcPr>
          <w:p>
            <w:r>
              <w:rPr>
                <w:sz w:val="18"/>
              </w:rPr>
              <w:t>Đã bao quát 20 nhóm chức năng chính</w:t>
            </w:r>
          </w:p>
        </w:tc>
      </w:tr>
      <w:tr>
        <w:tc>
          <w:tcPr>
            <w:tcW w:type="dxa" w:w="3402"/>
            <w:tcMar>
              <w:top w:w="80" w:type="dxa"/>
              <w:start w:w="100" w:type="dxa"/>
              <w:bottom w:w="80" w:type="dxa"/>
              <w:end w:w="100" w:type="dxa"/>
            </w:tcMar>
            <w:vAlign w:val="center"/>
          </w:tcPr>
          <w:p>
            <w:r>
              <w:rPr>
                <w:sz w:val="18"/>
              </w:rPr>
              <w:t>Kết quả bước đầu</w:t>
            </w:r>
          </w:p>
        </w:tc>
        <w:tc>
          <w:tcPr>
            <w:tcW w:type="dxa" w:w="6350"/>
            <w:tcMar>
              <w:top w:w="80" w:type="dxa"/>
              <w:start w:w="100" w:type="dxa"/>
              <w:bottom w:w="80" w:type="dxa"/>
              <w:end w:w="100" w:type="dxa"/>
            </w:tcMar>
            <w:vAlign w:val="center"/>
          </w:tcPr>
          <w:p>
            <w:r>
              <w:rPr>
                <w:sz w:val="18"/>
              </w:rPr>
              <w:t>Có bằng chứng cho nhiều quy tắc nghiệp vụ quan trọng</w:t>
            </w:r>
          </w:p>
        </w:tc>
      </w:tr>
      <w:tr>
        <w:tc>
          <w:tcPr>
            <w:tcW w:type="dxa" w:w="3402"/>
            <w:tcMar>
              <w:top w:w="80" w:type="dxa"/>
              <w:start w:w="100" w:type="dxa"/>
              <w:bottom w:w="80" w:type="dxa"/>
              <w:end w:w="100" w:type="dxa"/>
            </w:tcMar>
            <w:vAlign w:val="center"/>
          </w:tcPr>
          <w:p>
            <w:r>
              <w:rPr>
                <w:sz w:val="18"/>
              </w:rPr>
              <w:t>Giới hạn hiện tại</w:t>
            </w:r>
          </w:p>
        </w:tc>
        <w:tc>
          <w:tcPr>
            <w:tcW w:type="dxa" w:w="6350"/>
            <w:tcMar>
              <w:top w:w="80" w:type="dxa"/>
              <w:start w:w="100" w:type="dxa"/>
              <w:bottom w:w="80" w:type="dxa"/>
              <w:end w:w="100" w:type="dxa"/>
            </w:tcMar>
            <w:vAlign w:val="center"/>
          </w:tcPr>
          <w:p>
            <w:r>
              <w:rPr>
                <w:sz w:val="18"/>
              </w:rPr>
              <w:t>Một số quy trình chưa được dùng thử trọn vẹn trên website</w:t>
            </w:r>
          </w:p>
        </w:tc>
      </w:tr>
    </w:tbl>
    <w:p>
      <w:pPr>
        <w:pStyle w:val="ListBullet"/>
        <w:spacing w:after="40" w:line="247" w:lineRule="auto"/>
      </w:pPr>
      <w:r>
        <w:t>Hồ sơ kiểm tra hiện có đã bao phủ toàn bộ chuỗi công việc chính của doanh nghiệp xuất khẩu lao động.</w:t>
      </w:r>
    </w:p>
    <w:p>
      <w:pPr>
        <w:pStyle w:val="ListBullet"/>
        <w:spacing w:after="40" w:line="247" w:lineRule="auto"/>
      </w:pPr>
      <w:r>
        <w:t>Nhiều vấn đề quan trọng từng được ghi nhận đã có tình trạng xử lý và kiểm tra lại rõ ràng.</w:t>
      </w:r>
    </w:p>
    <w:p>
      <w:pPr>
        <w:pStyle w:val="ListBullet"/>
        <w:spacing w:after="40" w:line="247" w:lineRule="auto"/>
      </w:pPr>
      <w:r>
        <w:t>Chưa đủ căn cứ để khẳng định toàn bộ hệ thống đã vận hành hoàn hảo trong điều kiện nhiều người dùng và dữ liệu thực tế.</w:t>
      </w:r>
    </w:p>
    <w:p>
      <w:pPr>
        <w:pStyle w:val="Heading2"/>
        <w:keepNext/>
      </w:pPr>
      <w:r>
        <w:t>4. Vấn đề cần lưu ý</w:t>
      </w:r>
    </w:p>
    <w:p>
      <w:pPr>
        <w:pStyle w:val="ListBullet"/>
        <w:spacing w:after="40" w:line="247" w:lineRule="auto"/>
      </w:pPr>
      <w:r>
        <w:t>Một số chức năng mới điều chỉnh liên quan đến thu tiền, quyền xem số tiền và phạm vi nhắn tin vẫn cần người dùng xác nhận trực tiếp.</w:t>
      </w:r>
    </w:p>
    <w:p>
      <w:pPr>
        <w:pStyle w:val="ListBullet"/>
        <w:spacing w:after="40" w:line="247" w:lineRule="auto"/>
      </w:pPr>
      <w:r>
        <w:t>Các tình huống nhiều nhân sự cùng thao tác trên một hồ sơ chưa được kiểm tra đầy đủ.</w:t>
      </w:r>
    </w:p>
    <w:p>
      <w:pPr>
        <w:pStyle w:val="Heading2"/>
        <w:keepNext/>
      </w:pPr>
      <w:r>
        <w:t>5. Đánh giá chung</w:t>
      </w:r>
    </w:p>
    <w:p>
      <w:pPr>
        <w:spacing w:after="60"/>
        <w:ind w:left="142" w:right="142"/>
        <w:shd w:fill="EEF5F9"/>
      </w:pPr>
      <w:r>
        <w:rPr>
          <w:b/>
        </w:rPr>
        <w:t>Đang tiếp tục kiểm tra. Phạm vi rà soát đã rõ và có đủ dữ liệu để lập báo cáo theo từng nhóm nghiệp vụ, nhưng chưa nên coi đây là kết luận nghiệm thu toàn hệ thống.</w:t>
      </w:r>
    </w:p>
    <w:p>
      <w:pPr>
        <w:pStyle w:val="Heading2"/>
        <w:keepNext/>
      </w:pPr>
      <w:r>
        <w:t>6. So sánh sơ bộ với hệ thống quản lý khác</w:t>
      </w:r>
    </w:p>
    <w:p>
      <w:r>
        <w:t>So với các phần mềm quản lý theo quy trình cố định, POLYMIND có ưu điểm là được tổ chức theo luồng công việc thực tế của công ty. Mức độ dễ sử dụng và ổn định vẫn cần được xác nhận qua đợt dùng thử trực tiếp.</w:t>
      </w:r>
    </w:p>
    <w:p>
      <w:pPr>
        <w:pStyle w:val="Heading2"/>
        <w:keepNext/>
      </w:pPr>
      <w:r>
        <w:t>7. Kế hoạch ngày tiếp theo</w:t>
      </w:r>
    </w:p>
    <w:p>
      <w:r>
        <w:t>Ngày tiếp theo tập trung vào đăng nhập, đăng xuất, khóa tài khoản và các biện pháp bảo vệ tài khoản người dùng.</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14/07/2026</dc:title>
  <dc:subject>Tổng quan hệ thống và kế hoạch kiểm tra</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