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15/07/2026  •  Đăng nhập, đăng xuất và bảo mật tài khoản</w:t>
      </w:r>
    </w:p>
    <w:p>
      <w:pPr>
        <w:pStyle w:val="Heading2"/>
        <w:keepNext/>
      </w:pPr>
      <w:r>
        <w:t>1. Nội dung kiểm tra trong ngày</w:t>
      </w:r>
    </w:p>
    <w:p>
      <w:pPr>
        <w:pStyle w:val="ListBullet"/>
        <w:spacing w:after="40" w:line="247" w:lineRule="auto"/>
      </w:pPr>
      <w:r>
        <w:t>Đăng nhập bằng thông tin đúng, xử lý khi nhập sai mật khẩu và khóa tạm sau nhiều lần thất bại.</w:t>
      </w:r>
    </w:p>
    <w:p>
      <w:pPr>
        <w:pStyle w:val="ListBullet"/>
        <w:spacing w:after="40" w:line="247" w:lineRule="auto"/>
      </w:pPr>
      <w:r>
        <w:t>Ngăn tài khoản đã bị vô hiệu hóa tiếp tục truy cập; kiểm tra đăng xuất và đổi mật khẩu.</w:t>
      </w:r>
    </w:p>
    <w:p>
      <w:pPr>
        <w:pStyle w:val="ListBullet"/>
        <w:spacing w:after="40" w:line="247" w:lineRule="auto"/>
      </w:pPr>
      <w:r>
        <w:t>Rà soát cách thông báo lỗi để không làm lộ việc một địa chỉ email có tồn tại trong hệ thống hay không.</w:t>
      </w:r>
    </w:p>
    <w:p>
      <w:pPr>
        <w:pStyle w:val="Heading2"/>
        <w:keepNext/>
      </w:pPr>
      <w:r>
        <w:t>2. Mục tiêu kiểm tra</w:t>
      </w:r>
    </w:p>
    <w:p>
      <w:r>
        <w:t>Bảo vệ thông tin ứng viên, hồ sơ cá nhân và dữ liệu tài chính; đồng thời bảo đảm nhân sự đã nghỉ việc hoặc bị khóa tài khoản không tiếp tục sử dụng hệ thống.</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Quy tắc mật khẩu và khóa tạm</w:t>
            </w:r>
          </w:p>
        </w:tc>
        <w:tc>
          <w:tcPr>
            <w:tcW w:type="dxa" w:w="6350"/>
            <w:tcMar>
              <w:top w:w="80" w:type="dxa"/>
              <w:start w:w="100" w:type="dxa"/>
              <w:bottom w:w="80" w:type="dxa"/>
              <w:end w:w="100" w:type="dxa"/>
            </w:tcMar>
            <w:vAlign w:val="center"/>
          </w:tcPr>
          <w:p>
            <w:r>
              <w:rPr>
                <w:sz w:val="18"/>
              </w:rPr>
              <w:t>Cơ bản đáp ứng yêu cầu</w:t>
            </w:r>
          </w:p>
        </w:tc>
      </w:tr>
      <w:tr>
        <w:tc>
          <w:tcPr>
            <w:tcW w:type="dxa" w:w="3402"/>
            <w:tcMar>
              <w:top w:w="80" w:type="dxa"/>
              <w:start w:w="100" w:type="dxa"/>
              <w:bottom w:w="80" w:type="dxa"/>
              <w:end w:w="100" w:type="dxa"/>
            </w:tcMar>
            <w:vAlign w:val="center"/>
          </w:tcPr>
          <w:p>
            <w:r>
              <w:rPr>
                <w:sz w:val="18"/>
              </w:rPr>
              <w:t>Vấn đề từng phát hiện</w:t>
            </w:r>
          </w:p>
        </w:tc>
        <w:tc>
          <w:tcPr>
            <w:tcW w:type="dxa" w:w="6350"/>
            <w:tcMar>
              <w:top w:w="80" w:type="dxa"/>
              <w:start w:w="100" w:type="dxa"/>
              <w:bottom w:w="80" w:type="dxa"/>
              <w:end w:w="100" w:type="dxa"/>
            </w:tcMar>
            <w:vAlign w:val="center"/>
          </w:tcPr>
          <w:p>
            <w:r>
              <w:rPr>
                <w:sz w:val="18"/>
              </w:rPr>
              <w:t>Ba nội dung đã được điều chỉnh</w:t>
            </w:r>
          </w:p>
        </w:tc>
      </w:tr>
      <w:tr>
        <w:tc>
          <w:tcPr>
            <w:tcW w:type="dxa" w:w="3402"/>
            <w:tcMar>
              <w:top w:w="80" w:type="dxa"/>
              <w:start w:w="100" w:type="dxa"/>
              <w:bottom w:w="80" w:type="dxa"/>
              <w:end w:w="100" w:type="dxa"/>
            </w:tcMar>
            <w:vAlign w:val="center"/>
          </w:tcPr>
          <w:p>
            <w:r>
              <w:rPr>
                <w:sz w:val="18"/>
              </w:rPr>
              <w:t>Kiểm tra thực tế nhiều thiết bị</w:t>
            </w:r>
          </w:p>
        </w:tc>
        <w:tc>
          <w:tcPr>
            <w:tcW w:type="dxa" w:w="6350"/>
            <w:tcMar>
              <w:top w:w="80" w:type="dxa"/>
              <w:start w:w="100" w:type="dxa"/>
              <w:bottom w:w="80" w:type="dxa"/>
              <w:end w:w="100" w:type="dxa"/>
            </w:tcMar>
            <w:vAlign w:val="center"/>
          </w:tcPr>
          <w:p>
            <w:r>
              <w:rPr>
                <w:sz w:val="18"/>
              </w:rPr>
              <w:t>Cần tiếp tục xác nhận</w:t>
            </w:r>
          </w:p>
        </w:tc>
      </w:tr>
    </w:tbl>
    <w:p>
      <w:pPr>
        <w:pStyle w:val="ListBullet"/>
        <w:spacing w:after="40" w:line="247" w:lineRule="auto"/>
      </w:pPr>
      <w:r>
        <w:t>Quy định về độ dài mật khẩu, ký tự bắt buộc và giới hạn số lần đăng nhập sai đã được ghi nhận đầy đủ.</w:t>
      </w:r>
    </w:p>
    <w:p>
      <w:pPr>
        <w:pStyle w:val="ListBullet"/>
        <w:spacing w:after="40" w:line="247" w:lineRule="auto"/>
      </w:pPr>
      <w:r>
        <w:t>Vấn đề tài khoản bị khóa nhưng phiên làm việc cũ chưa chấm dứt đủ sớm đã được sửa và kiểm tra lại theo hồ sơ.</w:t>
      </w:r>
    </w:p>
    <w:p>
      <w:pPr>
        <w:pStyle w:val="ListBullet"/>
        <w:spacing w:after="40" w:line="247" w:lineRule="auto"/>
      </w:pPr>
      <w:r>
        <w:t>Thông báo đăng nhập đã được thống nhất để không cho người ngoài đoán tài khoản có tồn tại; trường hợp gỡ liên kết tài khoản đối tác cũng đã được đồng bộ cách khóa.</w:t>
      </w:r>
    </w:p>
    <w:p>
      <w:pPr>
        <w:pStyle w:val="Heading2"/>
        <w:keepNext/>
      </w:pPr>
      <w:r>
        <w:t>4. Vấn đề cần lưu ý</w:t>
      </w:r>
    </w:p>
    <w:p>
      <w:pPr>
        <w:pStyle w:val="ListBullet"/>
        <w:spacing w:after="40" w:line="247" w:lineRule="auto"/>
      </w:pPr>
      <w:r>
        <w:t>Chưa thực hiện đầy đủ việc đăng nhập cùng một tài khoản trên nhiều thiết bị rồi khóa tài khoản để quan sát toàn bộ quá trình.</w:t>
      </w:r>
    </w:p>
    <w:p>
      <w:pPr>
        <w:pStyle w:val="ListBullet"/>
        <w:spacing w:after="40" w:line="247" w:lineRule="auto"/>
      </w:pPr>
      <w:r>
        <w:t>Một số tình huống đăng nhập dành cho kết nối ngoài giao diện chính vẫn cần thử trực tiếp.</w:t>
      </w:r>
    </w:p>
    <w:p>
      <w:pPr>
        <w:pStyle w:val="Heading2"/>
        <w:keepNext/>
      </w:pPr>
      <w:r>
        <w:t>5. Đánh giá chung</w:t>
      </w:r>
    </w:p>
    <w:p>
      <w:pPr>
        <w:spacing w:after="60"/>
        <w:ind w:left="142" w:right="142"/>
        <w:shd w:fill="EEF5F9"/>
      </w:pPr>
      <w:r>
        <w:rPr>
          <w:b/>
        </w:rPr>
        <w:t>Cơ bản đáp ứng yêu cầu. Các vấn đề quan trọng đã sửa và kiểm tra lại; cần thêm một vòng xác nhận thực tế trên nhiều thiết bị trước khi kết luận hoàn toàn ổn định.</w:t>
      </w:r>
    </w:p>
    <w:p>
      <w:pPr>
        <w:pStyle w:val="Heading2"/>
        <w:keepNext/>
      </w:pPr>
      <w:r>
        <w:t>6. So sánh sơ bộ với hệ thống quản lý khác</w:t>
      </w:r>
    </w:p>
    <w:p>
      <w:r>
        <w:t>Khả năng khóa tạm và chấm dứt quyền truy cập là tiêu chí thiết yếu của mọi hệ thống quản lý. POLYMIND đã có các cơ chế cần thiết, còn trải nghiệm thông báo cho người dùng cần được đánh giá khi dùng thật.</w:t>
      </w:r>
    </w:p>
    <w:p>
      <w:pPr>
        <w:pStyle w:val="Heading2"/>
        <w:keepNext/>
      </w:pPr>
      <w:r>
        <w:t>7. Kế hoạch ngày tiếp theo</w:t>
      </w:r>
    </w:p>
    <w:p>
      <w:r>
        <w:t>Ngày tiếp theo kiểm tra việc tạo tài khoản, đổi vai trò và giới hạn quyền giữa các nhóm nhân sự.</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15/07/2026</dc:title>
  <dc:subject>Đăng nhập, đăng xuất và bảo mật tài khoản</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