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16/07/2026  •  Quản lý người dùng và phân quyền</w:t>
      </w:r>
    </w:p>
    <w:p>
      <w:pPr>
        <w:pStyle w:val="Heading2"/>
        <w:keepNext/>
      </w:pPr>
      <w:r>
        <w:t>1. Nội dung kiểm tra trong ngày</w:t>
      </w:r>
    </w:p>
    <w:p>
      <w:pPr>
        <w:pStyle w:val="ListBullet"/>
        <w:spacing w:after="40" w:line="247" w:lineRule="auto"/>
      </w:pPr>
      <w:r>
        <w:t>Tạo, sửa, khóa, xóa tài khoản; đổi vai trò và đặt lại mật khẩu cho nhân sự.</w:t>
      </w:r>
    </w:p>
    <w:p>
      <w:pPr>
        <w:pStyle w:val="ListBullet"/>
        <w:spacing w:after="40" w:line="247" w:lineRule="auto"/>
      </w:pPr>
      <w:r>
        <w:t>Giới hạn quyền xem, thêm, sửa, xóa và duyệt theo từng vai trò công việc.</w:t>
      </w:r>
    </w:p>
    <w:p>
      <w:pPr>
        <w:pStyle w:val="ListBullet"/>
        <w:spacing w:after="40" w:line="247" w:lineRule="auto"/>
      </w:pPr>
      <w:r>
        <w:t>Kiểm tra trường hợp người dùng cố mở trực tiếp khu vực không thuộc trách nhiệm của mình.</w:t>
      </w:r>
    </w:p>
    <w:p>
      <w:pPr>
        <w:pStyle w:val="Heading2"/>
        <w:keepNext/>
      </w:pPr>
      <w:r>
        <w:t>2. Mục tiêu kiểm tra</w:t>
      </w:r>
    </w:p>
    <w:p>
      <w:r>
        <w:t>Bảo đảm mỗi phòng ban chỉ thực hiện đúng phần việc được giao, giảm nguy cơ xem nhầm dữ liệu hoặc thay đổi thông tin vượt thẩm quyền.</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Phân quyền theo vai trò</w:t>
            </w:r>
          </w:p>
        </w:tc>
        <w:tc>
          <w:tcPr>
            <w:tcW w:type="dxa" w:w="6350"/>
            <w:tcMar>
              <w:top w:w="80" w:type="dxa"/>
              <w:start w:w="100" w:type="dxa"/>
              <w:bottom w:w="80" w:type="dxa"/>
              <w:end w:w="100" w:type="dxa"/>
            </w:tcMar>
            <w:vAlign w:val="center"/>
          </w:tcPr>
          <w:p>
            <w:r>
              <w:rPr>
                <w:sz w:val="18"/>
              </w:rPr>
              <w:t>Đã có quy tắc rõ ràng</w:t>
            </w:r>
          </w:p>
        </w:tc>
      </w:tr>
      <w:tr>
        <w:tc>
          <w:tcPr>
            <w:tcW w:type="dxa" w:w="3402"/>
            <w:tcMar>
              <w:top w:w="80" w:type="dxa"/>
              <w:start w:w="100" w:type="dxa"/>
              <w:bottom w:w="80" w:type="dxa"/>
              <w:end w:w="100" w:type="dxa"/>
            </w:tcMar>
            <w:vAlign w:val="center"/>
          </w:tcPr>
          <w:p>
            <w:r>
              <w:rPr>
                <w:sz w:val="18"/>
              </w:rPr>
              <w:t>Thu hồi quyền đang sử dụng</w:t>
            </w:r>
          </w:p>
        </w:tc>
        <w:tc>
          <w:tcPr>
            <w:tcW w:type="dxa" w:w="6350"/>
            <w:tcMar>
              <w:top w:w="80" w:type="dxa"/>
              <w:start w:w="100" w:type="dxa"/>
              <w:bottom w:w="80" w:type="dxa"/>
              <w:end w:w="100" w:type="dxa"/>
            </w:tcMar>
            <w:vAlign w:val="center"/>
          </w:tcPr>
          <w:p>
            <w:r>
              <w:rPr>
                <w:sz w:val="18"/>
              </w:rPr>
              <w:t>Đã điều chỉnh và kiểm tra lại</w:t>
            </w:r>
          </w:p>
        </w:tc>
      </w:tr>
      <w:tr>
        <w:tc>
          <w:tcPr>
            <w:tcW w:type="dxa" w:w="3402"/>
            <w:tcMar>
              <w:top w:w="80" w:type="dxa"/>
              <w:start w:w="100" w:type="dxa"/>
              <w:bottom w:w="80" w:type="dxa"/>
              <w:end w:w="100" w:type="dxa"/>
            </w:tcMar>
            <w:vAlign w:val="center"/>
          </w:tcPr>
          <w:p>
            <w:r>
              <w:rPr>
                <w:sz w:val="18"/>
              </w:rPr>
              <w:t>Xóa tài khoản có liên kết</w:t>
            </w:r>
          </w:p>
        </w:tc>
        <w:tc>
          <w:tcPr>
            <w:tcW w:type="dxa" w:w="6350"/>
            <w:tcMar>
              <w:top w:w="80" w:type="dxa"/>
              <w:start w:w="100" w:type="dxa"/>
              <w:bottom w:w="80" w:type="dxa"/>
              <w:end w:w="100" w:type="dxa"/>
            </w:tcMar>
            <w:vAlign w:val="center"/>
          </w:tcPr>
          <w:p>
            <w:r>
              <w:rPr>
                <w:sz w:val="18"/>
              </w:rPr>
              <w:t>Đã sửa; cần thử thêm với dữ liệu thực tế</w:t>
            </w:r>
          </w:p>
        </w:tc>
      </w:tr>
    </w:tbl>
    <w:p>
      <w:pPr>
        <w:pStyle w:val="ListBullet"/>
        <w:spacing w:after="40" w:line="247" w:lineRule="auto"/>
      </w:pPr>
      <w:r>
        <w:t>Hệ thống đã chia quyền theo công việc và có giới hạn riêng cho tài khoản quản trị cao nhất.</w:t>
      </w:r>
    </w:p>
    <w:p>
      <w:pPr>
        <w:pStyle w:val="ListBullet"/>
        <w:spacing w:after="40" w:line="247" w:lineRule="auto"/>
      </w:pPr>
      <w:r>
        <w:t>Điểm từng khiến quyền cũ có thể còn hiệu lực trong phiên đang mở đã được điều chỉnh.</w:t>
      </w:r>
    </w:p>
    <w:p>
      <w:pPr>
        <w:pStyle w:val="ListBullet"/>
        <w:spacing w:after="40" w:line="247" w:lineRule="auto"/>
      </w:pPr>
      <w:r>
        <w:t>Vấn đề xóa tài khoản phụ huynh nhưng còn liên kết cũ với ứng viên đã được sửa và có kết quả kiểm tra lại trong hồ sơ.</w:t>
      </w:r>
    </w:p>
    <w:p>
      <w:pPr>
        <w:pStyle w:val="Heading2"/>
        <w:keepNext/>
      </w:pPr>
      <w:r>
        <w:t>4. Vấn đề cần lưu ý</w:t>
      </w:r>
    </w:p>
    <w:p>
      <w:pPr>
        <w:pStyle w:val="ListBullet"/>
        <w:spacing w:after="40" w:line="247" w:lineRule="auto"/>
      </w:pPr>
      <w:r>
        <w:t>Chưa dùng thử đủ tất cả vai trò trên giao diện, đặc biệt là thao tác đổi quyền khi người kia đang đăng nhập.</w:t>
      </w:r>
    </w:p>
    <w:p>
      <w:pPr>
        <w:pStyle w:val="ListBullet"/>
        <w:spacing w:after="40" w:line="247" w:lineRule="auto"/>
      </w:pPr>
      <w:r>
        <w:t>Việc xóa tài khoản trên một bộ dữ liệu có nhiều hồ sơ liên quan vẫn cần được xác nhận trực tiếp.</w:t>
      </w:r>
    </w:p>
    <w:p>
      <w:pPr>
        <w:pStyle w:val="Heading2"/>
        <w:keepNext/>
      </w:pPr>
      <w:r>
        <w:t>5. Đánh giá chung</w:t>
      </w:r>
    </w:p>
    <w:p>
      <w:pPr>
        <w:spacing w:after="60"/>
        <w:ind w:left="142" w:right="142"/>
        <w:shd w:fill="EEF5F9"/>
      </w:pPr>
      <w:r>
        <w:rPr>
          <w:b/>
        </w:rPr>
        <w:t>Cơ bản đáp ứng yêu cầu. Các điểm rủi ro chính đã được nhận diện và xử lý; cần tổ chức một buổi thử theo từng phòng ban để xác nhận trải nghiệm thực tế.</w:t>
      </w:r>
    </w:p>
    <w:p>
      <w:pPr>
        <w:pStyle w:val="Heading2"/>
        <w:keepNext/>
      </w:pPr>
      <w:r>
        <w:t>6. So sánh sơ bộ với hệ thống quản lý khác</w:t>
      </w:r>
    </w:p>
    <w:p>
      <w:r>
        <w:t>POLYMIND có khả năng chia quyền khá chi tiết theo nghiệp vụ của công ty. Đây là lợi thế so với cách quản lý dùng chung một mức quyền, nhưng việc quản trị phải được trình bày đủ đơn giản cho người vận hành.</w:t>
      </w:r>
    </w:p>
    <w:p>
      <w:pPr>
        <w:pStyle w:val="Heading2"/>
        <w:keepNext/>
      </w:pPr>
      <w:r>
        <w:t>7. Kế hoạch ngày tiếp theo</w:t>
      </w:r>
    </w:p>
    <w:p>
      <w:r>
        <w:t>Ngày tiếp theo tập trung vào danh sách ứng viên, phạm vi hồ sơ được xem và các thao tác quản lý cơ bản.</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16/07/2026</dc:title>
  <dc:subject>Quản lý người dùng và phân quyền</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