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17/07/2026  •  Quản lý danh sách ứng viên</w:t>
      </w:r>
    </w:p>
    <w:p>
      <w:pPr>
        <w:pStyle w:val="Heading2"/>
        <w:keepNext/>
      </w:pPr>
      <w:r>
        <w:t>1. Nội dung kiểm tra trong ngày</w:t>
      </w:r>
    </w:p>
    <w:p>
      <w:pPr>
        <w:pStyle w:val="ListBullet"/>
        <w:spacing w:after="40" w:line="247" w:lineRule="auto"/>
      </w:pPr>
      <w:r>
        <w:t>Hiển thị danh sách ứng viên theo phạm vi của nhân viên, đại lý, cộng tác viên và gia đình.</w:t>
      </w:r>
    </w:p>
    <w:p>
      <w:pPr>
        <w:pStyle w:val="ListBullet"/>
        <w:spacing w:after="40" w:line="247" w:lineRule="auto"/>
      </w:pPr>
      <w:r>
        <w:t>Tạo, sửa, xóa hồ sơ; kiểm tra việc ngăn người không có quyền thực hiện thao tác.</w:t>
      </w:r>
    </w:p>
    <w:p>
      <w:pPr>
        <w:pStyle w:val="ListBullet"/>
        <w:spacing w:after="40" w:line="247" w:lineRule="auto"/>
      </w:pPr>
      <w:r>
        <w:t>Đổi tư vấn viên, cộng tác viên hoặc đơn hàng gắn với ứng viên và yêu cầu xác nhận phù hợp.</w:t>
      </w:r>
    </w:p>
    <w:p>
      <w:pPr>
        <w:pStyle w:val="Heading2"/>
        <w:keepNext/>
      </w:pPr>
      <w:r>
        <w:t>2. Mục tiêu kiểm tra</w:t>
      </w:r>
    </w:p>
    <w:p>
      <w:r>
        <w:t>Giúp công ty quản lý hồ sơ tập trung, bàn giao đúng người phụ trách và hạn chế lộ thông tin cá nhân cho các bên không liên quan.</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Phạm vi xem hồ sơ</w:t>
            </w:r>
          </w:p>
        </w:tc>
        <w:tc>
          <w:tcPr>
            <w:tcW w:type="dxa" w:w="6350"/>
            <w:tcMar>
              <w:top w:w="80" w:type="dxa"/>
              <w:start w:w="100" w:type="dxa"/>
              <w:bottom w:w="80" w:type="dxa"/>
              <w:end w:w="100" w:type="dxa"/>
            </w:tcMar>
            <w:vAlign w:val="center"/>
          </w:tcPr>
          <w:p>
            <w:r>
              <w:rPr>
                <w:sz w:val="18"/>
              </w:rPr>
              <w:t>Đã có giới hạn theo người phụ trách</w:t>
            </w:r>
          </w:p>
        </w:tc>
      </w:tr>
      <w:tr>
        <w:tc>
          <w:tcPr>
            <w:tcW w:type="dxa" w:w="3402"/>
            <w:tcMar>
              <w:top w:w="80" w:type="dxa"/>
              <w:start w:w="100" w:type="dxa"/>
              <w:bottom w:w="80" w:type="dxa"/>
              <w:end w:w="100" w:type="dxa"/>
            </w:tcMar>
            <w:vAlign w:val="center"/>
          </w:tcPr>
          <w:p>
            <w:r>
              <w:rPr>
                <w:sz w:val="18"/>
              </w:rPr>
              <w:t>Quyền sửa và xóa</w:t>
            </w:r>
          </w:p>
        </w:tc>
        <w:tc>
          <w:tcPr>
            <w:tcW w:type="dxa" w:w="6350"/>
            <w:tcMar>
              <w:top w:w="80" w:type="dxa"/>
              <w:start w:w="100" w:type="dxa"/>
              <w:bottom w:w="80" w:type="dxa"/>
              <w:end w:w="100" w:type="dxa"/>
            </w:tcMar>
            <w:vAlign w:val="center"/>
          </w:tcPr>
          <w:p>
            <w:r>
              <w:rPr>
                <w:sz w:val="18"/>
              </w:rPr>
              <w:t>Đã đối chiếu là có chặn theo vai trò</w:t>
            </w:r>
          </w:p>
        </w:tc>
      </w:tr>
      <w:tr>
        <w:tc>
          <w:tcPr>
            <w:tcW w:type="dxa" w:w="3402"/>
            <w:tcMar>
              <w:top w:w="80" w:type="dxa"/>
              <w:start w:w="100" w:type="dxa"/>
              <w:bottom w:w="80" w:type="dxa"/>
              <w:end w:w="100" w:type="dxa"/>
            </w:tcMar>
            <w:vAlign w:val="center"/>
          </w:tcPr>
          <w:p>
            <w:r>
              <w:rPr>
                <w:sz w:val="18"/>
              </w:rPr>
              <w:t>Thao tác trực tiếp trên dữ liệu đầy đủ</w:t>
            </w:r>
          </w:p>
        </w:tc>
        <w:tc>
          <w:tcPr>
            <w:tcW w:type="dxa" w:w="6350"/>
            <w:tcMar>
              <w:top w:w="80" w:type="dxa"/>
              <w:start w:w="100" w:type="dxa"/>
              <w:bottom w:w="80" w:type="dxa"/>
              <w:end w:w="100" w:type="dxa"/>
            </w:tcMar>
            <w:vAlign w:val="center"/>
          </w:tcPr>
          <w:p>
            <w:r>
              <w:rPr>
                <w:sz w:val="18"/>
              </w:rPr>
              <w:t>Chưa đủ dữ liệu để kết luận</w:t>
            </w:r>
          </w:p>
        </w:tc>
      </w:tr>
    </w:tbl>
    <w:p>
      <w:pPr>
        <w:pStyle w:val="ListBullet"/>
        <w:spacing w:after="40" w:line="247" w:lineRule="auto"/>
      </w:pPr>
      <w:r>
        <w:t>Không ghi nhận vấn đề mới riêng trong nhóm quản lý ứng viên ở phạm vi đã rà soát.</w:t>
      </w:r>
    </w:p>
    <w:p>
      <w:pPr>
        <w:pStyle w:val="ListBullet"/>
        <w:spacing w:after="40" w:line="247" w:lineRule="auto"/>
      </w:pPr>
      <w:r>
        <w:t>Đại lý và cộng tác viên chỉ được xem ứng viên thuộc phạm vi của mình; học viên và phụ huynh chỉ được hướng đến hồ sơ liên quan.</w:t>
      </w:r>
    </w:p>
    <w:p>
      <w:pPr>
        <w:pStyle w:val="ListBullet"/>
        <w:spacing w:after="40" w:line="247" w:lineRule="auto"/>
      </w:pPr>
      <w:r>
        <w:t>Các thao tác sửa, xóa và đổi người phụ trách đều có bước kiểm tra quyền, không chỉ dựa vào việc ẩn nút trên màn hình.</w:t>
      </w:r>
    </w:p>
    <w:p>
      <w:pPr>
        <w:pStyle w:val="Heading2"/>
        <w:keepNext/>
      </w:pPr>
      <w:r>
        <w:t>4. Vấn đề cần lưu ý</w:t>
      </w:r>
    </w:p>
    <w:p>
      <w:pPr>
        <w:pStyle w:val="ListBullet"/>
        <w:spacing w:after="40" w:line="247" w:lineRule="auto"/>
      </w:pPr>
      <w:r>
        <w:t>Việc xóa một hồ sơ có nhiều dữ liệu liên quan như khoản thu, thị thực và đơn hàng chưa được dùng thử đầy đủ.</w:t>
      </w:r>
    </w:p>
    <w:p>
      <w:pPr>
        <w:pStyle w:val="ListBullet"/>
        <w:spacing w:after="40" w:line="247" w:lineRule="auto"/>
      </w:pPr>
      <w:r>
        <w:t>Tình huống hai người cùng tạo hoặc cùng sửa một hồ sơ vẫn cần kiểm tra thêm để tránh trùng hoặc ghi đè.</w:t>
      </w:r>
    </w:p>
    <w:p>
      <w:pPr>
        <w:pStyle w:val="Heading2"/>
        <w:keepNext/>
      </w:pPr>
      <w:r>
        <w:t>5. Đánh giá chung</w:t>
      </w:r>
    </w:p>
    <w:p>
      <w:pPr>
        <w:spacing w:after="60"/>
        <w:ind w:left="142" w:right="142"/>
        <w:shd w:fill="EEF5F9"/>
      </w:pPr>
      <w:r>
        <w:rPr>
          <w:b/>
        </w:rPr>
        <w:t>Đang tiếp tục kiểm tra. Các quy tắc phạm vi và quyền cơ bản phù hợp, nhưng thao tác tạo, sửa, xóa trên dữ liệu thực tế cần được xác nhận thêm.</w:t>
      </w:r>
    </w:p>
    <w:p>
      <w:pPr>
        <w:pStyle w:val="Heading2"/>
        <w:keepNext/>
      </w:pPr>
      <w:r>
        <w:t>6. So sánh sơ bộ với hệ thống quản lý khác</w:t>
      </w:r>
    </w:p>
    <w:p>
      <w:r>
        <w:t>Khả năng giới hạn danh sách theo người phụ trách giúp POLYMIND phù hợp với mô hình có đại lý và cộng tác viên. Hiệu quả thực tế phụ thuộc vào tốc độ tìm hồ sơ và sự rõ ràng của màn hình bàn giao.</w:t>
      </w:r>
    </w:p>
    <w:p>
      <w:pPr>
        <w:pStyle w:val="Heading2"/>
        <w:keepNext/>
      </w:pPr>
      <w:r>
        <w:t>7. Kế hoạch ngày tiếp theo</w:t>
      </w:r>
    </w:p>
    <w:p>
      <w:r>
        <w:t>Ngày tiếp theo kiểm tra tài khoản phụ huynh, học viên và các mối liên hệ gắn với ứng viên.</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17/07/2026</dc:title>
  <dc:subject>Quản lý danh sách ứng viên</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