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18/07/2026  •  Thông tin phụ huynh, học viên và người liên hệ</w:t>
      </w:r>
    </w:p>
    <w:p>
      <w:pPr>
        <w:pStyle w:val="Heading2"/>
        <w:keepNext/>
      </w:pPr>
      <w:r>
        <w:t>1. Nội dung kiểm tra trong ngày</w:t>
      </w:r>
    </w:p>
    <w:p>
      <w:pPr>
        <w:pStyle w:val="ListBullet"/>
        <w:spacing w:after="40" w:line="247" w:lineRule="auto"/>
      </w:pPr>
      <w:r>
        <w:t>Tạo và gỡ tài khoản học viên, phụ huynh; chuyển đổi vai trò khi cần thiết.</w:t>
      </w:r>
    </w:p>
    <w:p>
      <w:pPr>
        <w:pStyle w:val="ListBullet"/>
        <w:spacing w:after="40" w:line="247" w:lineRule="auto"/>
      </w:pPr>
      <w:r>
        <w:t>Kiểm tra hồ sơ mà học viên và phụ huynh được phép xem cùng các thông tin bị ẩn.</w:t>
      </w:r>
    </w:p>
    <w:p>
      <w:pPr>
        <w:pStyle w:val="ListBullet"/>
        <w:spacing w:after="40" w:line="247" w:lineRule="auto"/>
      </w:pPr>
      <w:r>
        <w:t>Rà soát danh bạ liên hệ giữa gia đình, tư vấn viên và cộng tác viên liên quan.</w:t>
      </w:r>
    </w:p>
    <w:p>
      <w:pPr>
        <w:pStyle w:val="Heading2"/>
        <w:keepNext/>
      </w:pPr>
      <w:r>
        <w:t>2. Mục tiêu kiểm tra</w:t>
      </w:r>
    </w:p>
    <w:p>
      <w:r>
        <w:t>Giúp gia đình theo dõi đúng hồ sơ và liên hệ đúng người phụ trách, đồng thời bảo vệ thông tin hoa hồng và dữ liệu của ứng viên khác.</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Liên kết tài khoản gia đình</w:t>
            </w:r>
          </w:p>
        </w:tc>
        <w:tc>
          <w:tcPr>
            <w:tcW w:type="dxa" w:w="6350"/>
            <w:tcMar>
              <w:top w:w="80" w:type="dxa"/>
              <w:start w:w="100" w:type="dxa"/>
              <w:bottom w:w="80" w:type="dxa"/>
              <w:end w:w="100" w:type="dxa"/>
            </w:tcMar>
            <w:vAlign w:val="center"/>
          </w:tcPr>
          <w:p>
            <w:r>
              <w:rPr>
                <w:sz w:val="18"/>
              </w:rPr>
              <w:t>Đã có quy tắc quản lý</w:t>
            </w:r>
          </w:p>
        </w:tc>
      </w:tr>
      <w:tr>
        <w:tc>
          <w:tcPr>
            <w:tcW w:type="dxa" w:w="3402"/>
            <w:tcMar>
              <w:top w:w="80" w:type="dxa"/>
              <w:start w:w="100" w:type="dxa"/>
              <w:bottom w:w="80" w:type="dxa"/>
              <w:end w:w="100" w:type="dxa"/>
            </w:tcMar>
            <w:vAlign w:val="center"/>
          </w:tcPr>
          <w:p>
            <w:r>
              <w:rPr>
                <w:sz w:val="18"/>
              </w:rPr>
              <w:t>Dữ liệu cũ sau khi xóa</w:t>
            </w:r>
          </w:p>
        </w:tc>
        <w:tc>
          <w:tcPr>
            <w:tcW w:type="dxa" w:w="6350"/>
            <w:tcMar>
              <w:top w:w="80" w:type="dxa"/>
              <w:start w:w="100" w:type="dxa"/>
              <w:bottom w:w="80" w:type="dxa"/>
              <w:end w:w="100" w:type="dxa"/>
            </w:tcMar>
            <w:vAlign w:val="center"/>
          </w:tcPr>
          <w:p>
            <w:r>
              <w:rPr>
                <w:sz w:val="18"/>
              </w:rPr>
              <w:t>Vấn đề đã được sửa</w:t>
            </w:r>
          </w:p>
        </w:tc>
      </w:tr>
      <w:tr>
        <w:tc>
          <w:tcPr>
            <w:tcW w:type="dxa" w:w="3402"/>
            <w:tcMar>
              <w:top w:w="80" w:type="dxa"/>
              <w:start w:w="100" w:type="dxa"/>
              <w:bottom w:w="80" w:type="dxa"/>
              <w:end w:w="100" w:type="dxa"/>
            </w:tcMar>
            <w:vAlign w:val="center"/>
          </w:tcPr>
          <w:p>
            <w:r>
              <w:rPr>
                <w:sz w:val="18"/>
              </w:rPr>
              <w:t>Danh bạ liên hệ mới</w:t>
            </w:r>
          </w:p>
        </w:tc>
        <w:tc>
          <w:tcPr>
            <w:tcW w:type="dxa" w:w="6350"/>
            <w:tcMar>
              <w:top w:w="80" w:type="dxa"/>
              <w:start w:w="100" w:type="dxa"/>
              <w:bottom w:w="80" w:type="dxa"/>
              <w:end w:w="100" w:type="dxa"/>
            </w:tcMar>
            <w:vAlign w:val="center"/>
          </w:tcPr>
          <w:p>
            <w:r>
              <w:rPr>
                <w:sz w:val="18"/>
              </w:rPr>
              <w:t>Đã điều chỉnh; chờ xác nhận trực tiếp</w:t>
            </w:r>
          </w:p>
        </w:tc>
      </w:tr>
    </w:tbl>
    <w:p>
      <w:pPr>
        <w:pStyle w:val="ListBullet"/>
        <w:spacing w:after="40" w:line="247" w:lineRule="auto"/>
      </w:pPr>
      <w:r>
        <w:t>Vấn đề xóa tài khoản phụ huynh nhưng chưa cập nhật đầy đủ liên kết với ứng viên đã được sửa và kiểm tra lại.</w:t>
      </w:r>
    </w:p>
    <w:p>
      <w:pPr>
        <w:pStyle w:val="ListBullet"/>
        <w:spacing w:after="40" w:line="247" w:lineRule="auto"/>
      </w:pPr>
      <w:r>
        <w:t>Các thông tin về số lượng giới thiệu và tỷ lệ hoa hồng của cộng tác viên được ẩn với học viên, phụ huynh theo đúng yêu cầu.</w:t>
      </w:r>
    </w:p>
    <w:p>
      <w:pPr>
        <w:pStyle w:val="ListBullet"/>
        <w:spacing w:after="40" w:line="247" w:lineRule="auto"/>
      </w:pPr>
      <w:r>
        <w:t>Danh bạ mới đã được thu hẹp để gia đình chỉ liên hệ với tư vấn viên, cộng tác viên liên quan và người nhà của đúng hồ sơ.</w:t>
      </w:r>
    </w:p>
    <w:p>
      <w:pPr>
        <w:pStyle w:val="Heading2"/>
        <w:keepNext/>
      </w:pPr>
      <w:r>
        <w:t>4. Vấn đề cần lưu ý</w:t>
      </w:r>
    </w:p>
    <w:p>
      <w:pPr>
        <w:pStyle w:val="ListBullet"/>
        <w:spacing w:after="40" w:line="247" w:lineRule="auto"/>
      </w:pPr>
      <w:r>
        <w:t>Quy tắc danh bạ vừa được điều chỉnh nên còn chờ xác nhận độc lập bằng nhiều loại tài khoản.</w:t>
      </w:r>
    </w:p>
    <w:p>
      <w:pPr>
        <w:pStyle w:val="ListBullet"/>
        <w:spacing w:after="40" w:line="247" w:lineRule="auto"/>
      </w:pPr>
      <w:r>
        <w:t>Nếu ứng viên chưa gắn đủ người phụ trách hoặc tài khoản gia đình, cần tiếp tục kiểm tra cách hệ thống thông báo cho người dùng.</w:t>
      </w:r>
    </w:p>
    <w:p>
      <w:pPr>
        <w:pStyle w:val="Heading2"/>
        <w:keepNext/>
      </w:pPr>
      <w:r>
        <w:t>5. Đánh giá chung</w:t>
      </w:r>
    </w:p>
    <w:p>
      <w:pPr>
        <w:spacing w:after="60"/>
        <w:ind w:left="142" w:right="142"/>
        <w:shd w:fill="EEF5F9"/>
      </w:pPr>
      <w:r>
        <w:rPr>
          <w:b/>
        </w:rPr>
        <w:t>Cần điều chỉnh thêm ở khâu xác nhận. Quy tắc nghiệp vụ đã rõ và phần dọn liên kết cũ đã sửa; danh bạ mới chưa nên coi là hoàn tất trước khi dùng thử trực tiếp.</w:t>
      </w:r>
    </w:p>
    <w:p>
      <w:pPr>
        <w:pStyle w:val="Heading2"/>
        <w:keepNext/>
      </w:pPr>
      <w:r>
        <w:t>6. So sánh sơ bộ với hệ thống quản lý khác</w:t>
      </w:r>
    </w:p>
    <w:p>
      <w:r>
        <w:t>Cổng dành cho học viên và phụ huynh là điểm hữu ích nếu thông tin được trình bày đơn giản và đúng phạm vi. POLYMIND có mức tùy chỉnh cao theo quan hệ ứng viên, đổi lại cần kiểm tra kỹ từng trường hợp liên kết.</w:t>
      </w:r>
    </w:p>
    <w:p>
      <w:pPr>
        <w:pStyle w:val="Heading2"/>
        <w:keepNext/>
      </w:pPr>
      <w:r>
        <w:t>7. Kế hoạch ngày tiếp theo</w:t>
      </w:r>
    </w:p>
    <w:p>
      <w:r>
        <w:t>Ngày tiếp theo rà soát thông tin cá nhân, giấy tờ và các yêu cầu bảo mật trong hồ sơ ứng viên.</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18/07/2026</dc:title>
  <dc:subject>Thông tin phụ huynh, học viên và người liên hệ</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