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19/07/2026  •  Hồ sơ và thông tin cá nhân ứng viên</w:t>
      </w:r>
    </w:p>
    <w:p>
      <w:pPr>
        <w:pStyle w:val="Heading2"/>
        <w:keepNext/>
      </w:pPr>
      <w:r>
        <w:t>1. Nội dung kiểm tra trong ngày</w:t>
      </w:r>
    </w:p>
    <w:p>
      <w:pPr>
        <w:pStyle w:val="ListBullet"/>
        <w:spacing w:after="40" w:line="247" w:lineRule="auto"/>
      </w:pPr>
      <w:r>
        <w:t>Thông tin nhận dạng, số điện thoại, giấy tờ cá nhân và dữ liệu liên hệ trong hồ sơ.</w:t>
      </w:r>
    </w:p>
    <w:p>
      <w:pPr>
        <w:pStyle w:val="ListBullet"/>
        <w:spacing w:after="40" w:line="247" w:lineRule="auto"/>
      </w:pPr>
      <w:r>
        <w:t>Quy tắc ẩn hoặc hiển thị thông tin theo vai trò của nhân viên, đại lý, cộng tác viên và gia đình.</w:t>
      </w:r>
    </w:p>
    <w:p>
      <w:pPr>
        <w:pStyle w:val="ListBullet"/>
        <w:spacing w:after="40" w:line="247" w:lineRule="auto"/>
      </w:pPr>
      <w:r>
        <w:t>Kiểm tra việc mở hồ sơ ngoài phạm vi bằng đường dẫn trực tiếp và dữ liệu còn lại sau khi xóa.</w:t>
      </w:r>
    </w:p>
    <w:p>
      <w:pPr>
        <w:pStyle w:val="Heading2"/>
        <w:keepNext/>
      </w:pPr>
      <w:r>
        <w:t>2. Mục tiêu kiểm tra</w:t>
      </w:r>
    </w:p>
    <w:p>
      <w:r>
        <w:t>Bảo vệ dữ liệu nhạy cảm của người lao động, đồng thời vẫn cung cấp đủ thông tin cho đúng người để tuyển dụng và hoàn thiện hồ sơ.</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Hồ sơ ngoài phạm vi</w:t>
            </w:r>
          </w:p>
        </w:tc>
        <w:tc>
          <w:tcPr>
            <w:tcW w:type="dxa" w:w="6350"/>
            <w:tcMar>
              <w:top w:w="80" w:type="dxa"/>
              <w:start w:w="100" w:type="dxa"/>
              <w:bottom w:w="80" w:type="dxa"/>
              <w:end w:w="100" w:type="dxa"/>
            </w:tcMar>
            <w:vAlign w:val="center"/>
          </w:tcPr>
          <w:p>
            <w:r>
              <w:rPr>
                <w:sz w:val="18"/>
              </w:rPr>
              <w:t>Đã có cơ chế chặn</w:t>
            </w:r>
          </w:p>
        </w:tc>
      </w:tr>
      <w:tr>
        <w:tc>
          <w:tcPr>
            <w:tcW w:type="dxa" w:w="3402"/>
            <w:tcMar>
              <w:top w:w="80" w:type="dxa"/>
              <w:start w:w="100" w:type="dxa"/>
              <w:bottom w:w="80" w:type="dxa"/>
              <w:end w:w="100" w:type="dxa"/>
            </w:tcMar>
            <w:vAlign w:val="center"/>
          </w:tcPr>
          <w:p>
            <w:r>
              <w:rPr>
                <w:sz w:val="18"/>
              </w:rPr>
              <w:t>Số điện thoại với cộng tác viên</w:t>
            </w:r>
          </w:p>
        </w:tc>
        <w:tc>
          <w:tcPr>
            <w:tcW w:type="dxa" w:w="6350"/>
            <w:tcMar>
              <w:top w:w="80" w:type="dxa"/>
              <w:start w:w="100" w:type="dxa"/>
              <w:bottom w:w="80" w:type="dxa"/>
              <w:end w:w="100" w:type="dxa"/>
            </w:tcMar>
            <w:vAlign w:val="center"/>
          </w:tcPr>
          <w:p>
            <w:r>
              <w:rPr>
                <w:sz w:val="18"/>
              </w:rPr>
              <w:t>Được che bớt theo yêu cầu</w:t>
            </w:r>
          </w:p>
        </w:tc>
      </w:tr>
      <w:tr>
        <w:tc>
          <w:tcPr>
            <w:tcW w:type="dxa" w:w="3402"/>
            <w:tcMar>
              <w:top w:w="80" w:type="dxa"/>
              <w:start w:w="100" w:type="dxa"/>
              <w:bottom w:w="80" w:type="dxa"/>
              <w:end w:w="100" w:type="dxa"/>
            </w:tcMar>
            <w:vAlign w:val="center"/>
          </w:tcPr>
          <w:p>
            <w:r>
              <w:rPr>
                <w:sz w:val="18"/>
              </w:rPr>
              <w:t>Giấy tờ cá nhân</w:t>
            </w:r>
          </w:p>
        </w:tc>
        <w:tc>
          <w:tcPr>
            <w:tcW w:type="dxa" w:w="6350"/>
            <w:tcMar>
              <w:top w:w="80" w:type="dxa"/>
              <w:start w:w="100" w:type="dxa"/>
              <w:bottom w:w="80" w:type="dxa"/>
              <w:end w:w="100" w:type="dxa"/>
            </w:tcMar>
            <w:vAlign w:val="center"/>
          </w:tcPr>
          <w:p>
            <w:r>
              <w:rPr>
                <w:sz w:val="18"/>
              </w:rPr>
              <w:t>Hiển thị theo quyết định nghiệp vụ hiện hành</w:t>
            </w:r>
          </w:p>
        </w:tc>
      </w:tr>
    </w:tbl>
    <w:p>
      <w:pPr>
        <w:pStyle w:val="ListBullet"/>
        <w:spacing w:after="40" w:line="247" w:lineRule="auto"/>
      </w:pPr>
      <w:r>
        <w:t>Các trường hợp đại lý, cộng tác viên hoặc gia đình cố mở hồ sơ không liên quan đã được đối chiếu là bị ngăn.</w:t>
      </w:r>
    </w:p>
    <w:p>
      <w:pPr>
        <w:pStyle w:val="ListBullet"/>
        <w:spacing w:after="40" w:line="247" w:lineRule="auto"/>
      </w:pPr>
      <w:r>
        <w:t>Số điện thoại ứng viên được che bớt với cộng tác viên; thông tin giấy tờ được hiển thị theo quyết định nghiệp vụ đã thống nhất.</w:t>
      </w:r>
    </w:p>
    <w:p>
      <w:pPr>
        <w:pStyle w:val="ListBullet"/>
        <w:spacing w:after="40" w:line="247" w:lineRule="auto"/>
      </w:pPr>
      <w:r>
        <w:t>Đường truy cập dữ liệu từng có nguy cơ trả về danh sách ứng viên rộng hơn phạm vi đã được sửa và kiểm tra lại.</w:t>
      </w:r>
    </w:p>
    <w:p>
      <w:pPr>
        <w:pStyle w:val="Heading2"/>
        <w:keepNext/>
      </w:pPr>
      <w:r>
        <w:t>4. Vấn đề cần lưu ý</w:t>
      </w:r>
    </w:p>
    <w:p>
      <w:pPr>
        <w:pStyle w:val="ListBullet"/>
        <w:spacing w:after="40" w:line="247" w:lineRule="auto"/>
      </w:pPr>
      <w:r>
        <w:t>Cần rà soát định kỳ quyết định cho phép cộng tác viên xem giấy tờ cá nhân vì đây là dữ liệu nhạy cảm.</w:t>
      </w:r>
    </w:p>
    <w:p>
      <w:pPr>
        <w:pStyle w:val="ListBullet"/>
        <w:spacing w:after="40" w:line="247" w:lineRule="auto"/>
      </w:pPr>
      <w:r>
        <w:t>Chưa có đủ thử nghiệm trực tiếp cho việc xóa hồ sơ và bảo đảm mọi dữ liệu liên quan đều được xử lý đúng.</w:t>
      </w:r>
    </w:p>
    <w:p>
      <w:pPr>
        <w:pStyle w:val="Heading2"/>
        <w:keepNext/>
      </w:pPr>
      <w:r>
        <w:t>5. Đánh giá chung</w:t>
      </w:r>
    </w:p>
    <w:p>
      <w:pPr>
        <w:spacing w:after="60"/>
        <w:ind w:left="142" w:right="142"/>
        <w:shd w:fill="EEF5F9"/>
      </w:pPr>
      <w:r>
        <w:rPr>
          <w:b/>
        </w:rPr>
        <w:t>Cơ bản đáp ứng yêu cầu trong phạm vi đã xác nhận. Cần tiếp tục kiểm tra trực tiếp và xem xét lại chính sách hiển thị giấy tờ khi quy trình vận hành thay đổi.</w:t>
      </w:r>
    </w:p>
    <w:p>
      <w:pPr>
        <w:pStyle w:val="Heading2"/>
        <w:keepNext/>
      </w:pPr>
      <w:r>
        <w:t>6. So sánh sơ bộ với hệ thống quản lý khác</w:t>
      </w:r>
    </w:p>
    <w:p>
      <w:r>
        <w:t>Điểm quan trọng không chỉ là lưu đủ hồ sơ mà còn là giới hạn đúng người được xem. POLYMIND có khả năng phân phạm vi chi tiết, phù hợp với mạng lưới nhiều đối tác của công ty.</w:t>
      </w:r>
    </w:p>
    <w:p>
      <w:pPr>
        <w:pStyle w:val="Heading2"/>
        <w:keepNext/>
      </w:pPr>
      <w:r>
        <w:t>7. Kế hoạch ngày tiếp theo</w:t>
      </w:r>
    </w:p>
    <w:p>
      <w:r>
        <w:t>Ngày tiếp theo kiểm tra đơn hàng tuyển dụng, thị trường, ngành nghề, chi phí và hạn tuyển.</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19/07/2026</dc:title>
  <dc:subject>Hồ sơ và thông tin cá nhân ứng viên</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