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21/07/2026  •  Đại lý, cộng tác viên và hoa hồng</w:t>
      </w:r>
    </w:p>
    <w:p>
      <w:pPr>
        <w:pStyle w:val="Heading2"/>
        <w:keepNext/>
      </w:pPr>
      <w:r>
        <w:t>1. Nội dung kiểm tra trong ngày</w:t>
      </w:r>
    </w:p>
    <w:p>
      <w:pPr>
        <w:pStyle w:val="ListBullet"/>
        <w:spacing w:after="40" w:line="247" w:lineRule="auto"/>
      </w:pPr>
      <w:r>
        <w:t>Quản lý đại lý, cộng tác viên, phạm vi ứng viên và tỷ lệ chia hoa hồng.</w:t>
      </w:r>
    </w:p>
    <w:p>
      <w:pPr>
        <w:pStyle w:val="ListBullet"/>
        <w:spacing w:after="40" w:line="247" w:lineRule="auto"/>
      </w:pPr>
      <w:r>
        <w:t>Tạo hoa hồng theo từng mốc, ngăn ghi nhận trùng, duyệt trước khi chi và giữ lịch sử tỷ lệ.</w:t>
      </w:r>
    </w:p>
    <w:p>
      <w:pPr>
        <w:pStyle w:val="ListBullet"/>
        <w:spacing w:after="40" w:line="247" w:lineRule="auto"/>
      </w:pPr>
      <w:r>
        <w:t>Giới hạn doanh số, tiền hoa hồng và bảng xếp hạng giữa các đối tác.</w:t>
      </w:r>
    </w:p>
    <w:p>
      <w:pPr>
        <w:pStyle w:val="Heading2"/>
        <w:keepNext/>
      </w:pPr>
      <w:r>
        <w:t>2. Mục tiêu kiểm tra</w:t>
      </w:r>
    </w:p>
    <w:p>
      <w:r>
        <w:t>Bảo đảm tiền được tính đúng, tránh chi trùng và không để đại lý hoặc cộng tác viên nhìn thấy thông tin kinh doanh ngoài phạm vi.</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Ngăn hoa hồng trùng</w:t>
            </w:r>
          </w:p>
        </w:tc>
        <w:tc>
          <w:tcPr>
            <w:tcW w:type="dxa" w:w="6350"/>
            <w:tcMar>
              <w:top w:w="80" w:type="dxa"/>
              <w:start w:w="100" w:type="dxa"/>
              <w:bottom w:w="80" w:type="dxa"/>
              <w:end w:w="100" w:type="dxa"/>
            </w:tcMar>
            <w:vAlign w:val="center"/>
          </w:tcPr>
          <w:p>
            <w:r>
              <w:rPr>
                <w:sz w:val="18"/>
              </w:rPr>
              <w:t>Đã sửa và kiểm tra lại</w:t>
            </w:r>
          </w:p>
        </w:tc>
      </w:tr>
      <w:tr>
        <w:tc>
          <w:tcPr>
            <w:tcW w:type="dxa" w:w="3402"/>
            <w:tcMar>
              <w:top w:w="80" w:type="dxa"/>
              <w:start w:w="100" w:type="dxa"/>
              <w:bottom w:w="80" w:type="dxa"/>
              <w:end w:w="100" w:type="dxa"/>
            </w:tcMar>
            <w:vAlign w:val="center"/>
          </w:tcPr>
          <w:p>
            <w:r>
              <w:rPr>
                <w:sz w:val="18"/>
              </w:rPr>
              <w:t>Trình tự duyệt và chi</w:t>
            </w:r>
          </w:p>
        </w:tc>
        <w:tc>
          <w:tcPr>
            <w:tcW w:type="dxa" w:w="6350"/>
            <w:tcMar>
              <w:top w:w="80" w:type="dxa"/>
              <w:start w:w="100" w:type="dxa"/>
              <w:bottom w:w="80" w:type="dxa"/>
              <w:end w:w="100" w:type="dxa"/>
            </w:tcMar>
            <w:vAlign w:val="center"/>
          </w:tcPr>
          <w:p>
            <w:r>
              <w:rPr>
                <w:sz w:val="18"/>
              </w:rPr>
              <w:t>Đã bổ sung chốt kiểm soát</w:t>
            </w:r>
          </w:p>
        </w:tc>
      </w:tr>
      <w:tr>
        <w:tc>
          <w:tcPr>
            <w:tcW w:type="dxa" w:w="3402"/>
            <w:tcMar>
              <w:top w:w="80" w:type="dxa"/>
              <w:start w:w="100" w:type="dxa"/>
              <w:bottom w:w="80" w:type="dxa"/>
              <w:end w:w="100" w:type="dxa"/>
            </w:tcMar>
            <w:vAlign w:val="center"/>
          </w:tcPr>
          <w:p>
            <w:r>
              <w:rPr>
                <w:sz w:val="18"/>
              </w:rPr>
              <w:t>Quyền xem số tiền</w:t>
            </w:r>
          </w:p>
        </w:tc>
        <w:tc>
          <w:tcPr>
            <w:tcW w:type="dxa" w:w="6350"/>
            <w:tcMar>
              <w:top w:w="80" w:type="dxa"/>
              <w:start w:w="100" w:type="dxa"/>
              <w:bottom w:w="80" w:type="dxa"/>
              <w:end w:w="100" w:type="dxa"/>
            </w:tcMar>
            <w:vAlign w:val="center"/>
          </w:tcPr>
          <w:p>
            <w:r>
              <w:rPr>
                <w:sz w:val="18"/>
              </w:rPr>
              <w:t>Vừa điều chỉnh; chờ xác nhận trên giao diện</w:t>
            </w:r>
          </w:p>
        </w:tc>
      </w:tr>
    </w:tbl>
    <w:p>
      <w:pPr>
        <w:pStyle w:val="ListBullet"/>
        <w:spacing w:after="40" w:line="247" w:lineRule="auto"/>
      </w:pPr>
      <w:r>
        <w:t>Hai vấn đề có thể tạo hoa hồng trùng khi xử lý đồng thời hoặc chuyển sai thứ tự duyệt và chi đã được sửa.</w:t>
      </w:r>
    </w:p>
    <w:p>
      <w:pPr>
        <w:pStyle w:val="ListBullet"/>
        <w:spacing w:after="40" w:line="247" w:lineRule="auto"/>
      </w:pPr>
      <w:r>
        <w:t>Tỷ lệ chia của cộng tác viên được giữ theo thời điểm phát sinh để lịch sử không thay đổi khi cấu hình sau này được chỉnh.</w:t>
      </w:r>
    </w:p>
    <w:p>
      <w:pPr>
        <w:pStyle w:val="ListBullet"/>
        <w:spacing w:after="40" w:line="247" w:lineRule="auto"/>
      </w:pPr>
      <w:r>
        <w:t>Đại lý chỉ được xem doanh số của mình; quy định mới tiếp tục ẩn số tiền tổng với cộng tác viên và nhân sự không phụ trách tài chính.</w:t>
      </w:r>
    </w:p>
    <w:p>
      <w:pPr>
        <w:pStyle w:val="Heading2"/>
        <w:keepNext/>
      </w:pPr>
      <w:r>
        <w:t>4. Vấn đề cần lưu ý</w:t>
      </w:r>
    </w:p>
    <w:p>
      <w:pPr>
        <w:pStyle w:val="ListBullet"/>
        <w:spacing w:after="40" w:line="247" w:lineRule="auto"/>
      </w:pPr>
      <w:r>
        <w:t>Thay đổi mới về quyền xem số tiền đang chờ xác nhận độc lập bằng từng loại tài khoản.</w:t>
      </w:r>
    </w:p>
    <w:p>
      <w:pPr>
        <w:pStyle w:val="ListBullet"/>
        <w:spacing w:after="40" w:line="247" w:lineRule="auto"/>
      </w:pPr>
      <w:r>
        <w:t>Tình huống nhiều người cùng duyệt hoặc chi hoa hồng vẫn cần thử trực tiếp với dữ liệu thực tế.</w:t>
      </w:r>
    </w:p>
    <w:p>
      <w:pPr>
        <w:pStyle w:val="Heading2"/>
        <w:keepNext/>
      </w:pPr>
      <w:r>
        <w:t>5. Đánh giá chung</w:t>
      </w:r>
    </w:p>
    <w:p>
      <w:pPr>
        <w:spacing w:after="60"/>
        <w:ind w:left="142" w:right="142"/>
        <w:shd w:fill="EEF5F9"/>
      </w:pPr>
      <w:r>
        <w:rPr>
          <w:b/>
        </w:rPr>
        <w:t>Cơ bản đáp ứng yêu cầu, nhưng đang tiếp tục xác nhận phần hiển thị số tiền. Các rủi ro tính trùng và sai thứ tự đã có bằng chứng xử lý.</w:t>
      </w:r>
    </w:p>
    <w:p>
      <w:pPr>
        <w:pStyle w:val="Heading2"/>
        <w:keepNext/>
      </w:pPr>
      <w:r>
        <w:t>6. So sánh sơ bộ với hệ thống quản lý khác</w:t>
      </w:r>
    </w:p>
    <w:p>
      <w:r>
        <w:t>POLYMIND có lợi thế khi gắn hoa hồng trực tiếp với hành trình ứng viên và lưu tỷ lệ lịch sử. Khả năng bảo mật doanh số giữa các đại lý là tiêu chí cần duy trì nghiêm ngặt.</w:t>
      </w:r>
    </w:p>
    <w:p>
      <w:pPr>
        <w:pStyle w:val="Heading2"/>
        <w:keepNext/>
      </w:pPr>
      <w:r>
        <w:t>7. Kế hoạch ngày tiếp theo</w:t>
      </w:r>
    </w:p>
    <w:p>
      <w:r>
        <w:t>Ngày tiếp theo kiểm tra tiến độ hồ sơ, đào tạo và việc bàn giao giữa các bộ phận.</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21/07/2026</dc:title>
  <dc:subject>Đại lý, cộng tác viên và hoa hồng</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