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14368"/>
          <w:sz w:val="30"/>
        </w:rPr>
        <w:t>BÁO CÁO TIẾN ĐỘ KIỂM THỬ</w:t>
        <w:br/>
        <w:t>HỆ THỐNG POLYMIND</w:t>
      </w:r>
    </w:p>
    <w:p>
      <w:pPr>
        <w:spacing w:after="100"/>
        <w:jc w:val="center"/>
      </w:pPr>
      <w:r>
        <w:rPr>
          <w:b/>
          <w:color w:val="4E5B69"/>
          <w:sz w:val="19"/>
        </w:rPr>
        <w:t>Ngày báo cáo: 22/07/2026  •  Quy trình xử lý hồ sơ và đào tạo</w:t>
      </w:r>
    </w:p>
    <w:p>
      <w:pPr>
        <w:pStyle w:val="Heading2"/>
        <w:keepNext/>
      </w:pPr>
      <w:r>
        <w:t>1. Nội dung kiểm tra trong ngày</w:t>
      </w:r>
    </w:p>
    <w:p>
      <w:pPr>
        <w:pStyle w:val="ListBullet"/>
        <w:spacing w:after="40" w:line="247" w:lineRule="auto"/>
      </w:pPr>
      <w:r>
        <w:t>Theo dõi hồ sơ qua 20 bước, chuyển bước đúng thứ tự và đúng nhóm phụ trách.</w:t>
      </w:r>
    </w:p>
    <w:p>
      <w:pPr>
        <w:pStyle w:val="ListBullet"/>
        <w:spacing w:after="40" w:line="247" w:lineRule="auto"/>
      </w:pPr>
      <w:r>
        <w:t>Xử lý thi tuyển lại, đổi đơn hàng, định hướng trước xuất cảnh và điều kiện hoàn thành khi còn nợ công ty.</w:t>
      </w:r>
    </w:p>
    <w:p>
      <w:pPr>
        <w:pStyle w:val="ListBullet"/>
        <w:spacing w:after="40" w:line="247" w:lineRule="auto"/>
      </w:pPr>
      <w:r>
        <w:t>Theo dõi học tiếng, học nghề, mức tiến bộ, phiếu đánh giá và quyền xem của các phòng ban.</w:t>
      </w:r>
    </w:p>
    <w:p>
      <w:pPr>
        <w:pStyle w:val="Heading2"/>
        <w:keepNext/>
      </w:pPr>
      <w:r>
        <w:t>2. Mục tiêu kiểm tra</w:t>
      </w:r>
    </w:p>
    <w:p>
      <w:r>
        <w:t>Giúp quản lý biết mỗi ứng viên đang ở đâu, ai chịu trách nhiệm bước tiếp theo và mức độ sẵn sàng về đào tạo trước khi xuất cảnh.</w:t>
      </w:r>
    </w:p>
    <w:p>
      <w:pPr>
        <w:pStyle w:val="Heading2"/>
        <w:keepNext/>
      </w:pPr>
      <w:r>
        <w:t>3. Kết quả sơ bộ</w:t>
      </w:r>
    </w:p>
    <w:tbl>
      <w:tblPr>
        <w:tblStyle w:val="TableGrid"/>
        <w:tblW w:type="auto" w:w="0"/>
        <w:jc w:val="center"/>
        <w:tblLayout w:type="fixed"/>
        <w:tblLook w:firstColumn="1" w:firstRow="1" w:lastColumn="0" w:lastRow="0" w:noHBand="0" w:noVBand="1" w:val="04A0"/>
      </w:tblPr>
      <w:tblGrid>
        <w:gridCol w:w="3402"/>
        <w:gridCol w:w="6350"/>
      </w:tblGrid>
      <w:tr>
        <w:tc>
          <w:tcPr>
            <w:tcW w:type="dxa" w:w="5018"/>
            <w:shd w:fill="D9EAF5"/>
            <w:tcMar>
              <w:top w:w="80" w:type="dxa"/>
              <w:start w:w="100" w:type="dxa"/>
              <w:bottom w:w="80" w:type="dxa"/>
              <w:end w:w="100" w:type="dxa"/>
            </w:tcMar>
            <w:vAlign w:val="center"/>
          </w:tcPr>
          <w:p>
            <w:r>
              <w:rPr>
                <w:b/>
                <w:sz w:val="19"/>
              </w:rPr>
              <w:t>Nội dung</w:t>
            </w:r>
          </w:p>
        </w:tc>
        <w:tc>
          <w:tcPr>
            <w:tcW w:type="dxa" w:w="5018"/>
            <w:shd w:fill="D9EAF5"/>
            <w:tcMar>
              <w:top w:w="80" w:type="dxa"/>
              <w:start w:w="100" w:type="dxa"/>
              <w:bottom w:w="80" w:type="dxa"/>
              <w:end w:w="100" w:type="dxa"/>
            </w:tcMar>
            <w:vAlign w:val="center"/>
          </w:tcPr>
          <w:p>
            <w:r>
              <w:rPr>
                <w:b/>
                <w:sz w:val="19"/>
              </w:rPr>
              <w:t>Kết quả</w:t>
            </w:r>
          </w:p>
        </w:tc>
      </w:tr>
      <w:tr>
        <w:tc>
          <w:tcPr>
            <w:tcW w:type="dxa" w:w="3402"/>
            <w:tcMar>
              <w:top w:w="80" w:type="dxa"/>
              <w:start w:w="100" w:type="dxa"/>
              <w:bottom w:w="80" w:type="dxa"/>
              <w:end w:w="100" w:type="dxa"/>
            </w:tcMar>
            <w:vAlign w:val="center"/>
          </w:tcPr>
          <w:p>
            <w:r>
              <w:rPr>
                <w:sz w:val="18"/>
              </w:rPr>
              <w:t>Thứ tự 20 bước</w:t>
            </w:r>
          </w:p>
        </w:tc>
        <w:tc>
          <w:tcPr>
            <w:tcW w:type="dxa" w:w="6350"/>
            <w:tcMar>
              <w:top w:w="80" w:type="dxa"/>
              <w:start w:w="100" w:type="dxa"/>
              <w:bottom w:w="80" w:type="dxa"/>
              <w:end w:w="100" w:type="dxa"/>
            </w:tcMar>
            <w:vAlign w:val="center"/>
          </w:tcPr>
          <w:p>
            <w:r>
              <w:rPr>
                <w:sz w:val="18"/>
              </w:rPr>
              <w:t>Đã có quy tắc kiểm soát</w:t>
            </w:r>
          </w:p>
        </w:tc>
      </w:tr>
      <w:tr>
        <w:tc>
          <w:tcPr>
            <w:tcW w:type="dxa" w:w="3402"/>
            <w:tcMar>
              <w:top w:w="80" w:type="dxa"/>
              <w:start w:w="100" w:type="dxa"/>
              <w:bottom w:w="80" w:type="dxa"/>
              <w:end w:w="100" w:type="dxa"/>
            </w:tcMar>
            <w:vAlign w:val="center"/>
          </w:tcPr>
          <w:p>
            <w:r>
              <w:rPr>
                <w:sz w:val="18"/>
              </w:rPr>
              <w:t>Quyền chuyển bước</w:t>
            </w:r>
          </w:p>
        </w:tc>
        <w:tc>
          <w:tcPr>
            <w:tcW w:type="dxa" w:w="6350"/>
            <w:tcMar>
              <w:top w:w="80" w:type="dxa"/>
              <w:start w:w="100" w:type="dxa"/>
              <w:bottom w:w="80" w:type="dxa"/>
              <w:end w:w="100" w:type="dxa"/>
            </w:tcMar>
            <w:vAlign w:val="center"/>
          </w:tcPr>
          <w:p>
            <w:r>
              <w:rPr>
                <w:sz w:val="18"/>
              </w:rPr>
              <w:t>Đã giới hạn theo nhóm phụ trách</w:t>
            </w:r>
          </w:p>
        </w:tc>
      </w:tr>
      <w:tr>
        <w:tc>
          <w:tcPr>
            <w:tcW w:type="dxa" w:w="3402"/>
            <w:tcMar>
              <w:top w:w="80" w:type="dxa"/>
              <w:start w:w="100" w:type="dxa"/>
              <w:bottom w:w="80" w:type="dxa"/>
              <w:end w:w="100" w:type="dxa"/>
            </w:tcMar>
            <w:vAlign w:val="center"/>
          </w:tcPr>
          <w:p>
            <w:r>
              <w:rPr>
                <w:sz w:val="18"/>
              </w:rPr>
              <w:t>Cập nhật đồng thời</w:t>
            </w:r>
          </w:p>
        </w:tc>
        <w:tc>
          <w:tcPr>
            <w:tcW w:type="dxa" w:w="6350"/>
            <w:tcMar>
              <w:top w:w="80" w:type="dxa"/>
              <w:start w:w="100" w:type="dxa"/>
              <w:bottom w:w="80" w:type="dxa"/>
              <w:end w:w="100" w:type="dxa"/>
            </w:tcMar>
            <w:vAlign w:val="center"/>
          </w:tcPr>
          <w:p>
            <w:r>
              <w:rPr>
                <w:sz w:val="18"/>
              </w:rPr>
              <w:t>Chưa đủ dữ liệu để kết luận</w:t>
            </w:r>
          </w:p>
        </w:tc>
      </w:tr>
    </w:tbl>
    <w:p>
      <w:pPr>
        <w:pStyle w:val="ListBullet"/>
        <w:spacing w:after="40" w:line="247" w:lineRule="auto"/>
      </w:pPr>
      <w:r>
        <w:t>Chưa ghi nhận lỗi mới trong quy tắc chuyển bước; các trường hợp bỏ bước hoặc sai nhóm phụ trách đã có cơ chế ngăn.</w:t>
      </w:r>
    </w:p>
    <w:p>
      <w:pPr>
        <w:pStyle w:val="ListBullet"/>
        <w:spacing w:after="40" w:line="247" w:lineRule="auto"/>
      </w:pPr>
      <w:r>
        <w:t>Nợ công ty chưa thu đủ sẽ ngăn hoàn thành hồ sơ, trong khi khoản vay ngân hàng không bị chặn nhầm.</w:t>
      </w:r>
    </w:p>
    <w:p>
      <w:pPr>
        <w:pStyle w:val="ListBullet"/>
        <w:spacing w:after="40" w:line="247" w:lineRule="auto"/>
      </w:pPr>
      <w:r>
        <w:t>Đào tạo được tách thành tiếng và nghề; các bộ phận liên quan có thể theo dõi, còn cộng tác viên vừa được loại khỏi khu vực này theo yêu cầu mới.</w:t>
      </w:r>
    </w:p>
    <w:p>
      <w:pPr>
        <w:pStyle w:val="Heading2"/>
        <w:keepNext/>
      </w:pPr>
      <w:r>
        <w:t>4. Vấn đề cần lưu ý</w:t>
      </w:r>
    </w:p>
    <w:p>
      <w:pPr>
        <w:pStyle w:val="ListBullet"/>
        <w:spacing w:after="40" w:line="247" w:lineRule="auto"/>
      </w:pPr>
      <w:r>
        <w:t>Chưa chạy trọn toàn bộ 20 bước trên giao diện với nhiều người dùng.</w:t>
      </w:r>
    </w:p>
    <w:p>
      <w:pPr>
        <w:pStyle w:val="ListBullet"/>
        <w:spacing w:after="40" w:line="247" w:lineRule="auto"/>
      </w:pPr>
      <w:r>
        <w:t>Quyền mới của cộng tác viên đối với khu vực đào tạo đang chờ xác nhận độc lập; việc hai người cùng cập nhật một bước cũng cần thử thêm.</w:t>
      </w:r>
    </w:p>
    <w:p>
      <w:pPr>
        <w:pStyle w:val="Heading2"/>
        <w:keepNext/>
      </w:pPr>
      <w:r>
        <w:t>5. Đánh giá chung</w:t>
      </w:r>
    </w:p>
    <w:p>
      <w:pPr>
        <w:spacing w:after="60"/>
        <w:ind w:left="142" w:right="142"/>
        <w:shd w:fill="EEF5F9"/>
      </w:pPr>
      <w:r>
        <w:rPr>
          <w:b/>
        </w:rPr>
        <w:t>Đang tiếp tục kiểm tra. Các quy tắc nghiệp vụ chính phù hợp, nhưng cần mô phỏng bàn giao liên phòng ban và thao tác đồng thời trước khi kết luận ổn định.</w:t>
      </w:r>
    </w:p>
    <w:p>
      <w:pPr>
        <w:pStyle w:val="Heading2"/>
        <w:keepNext/>
      </w:pPr>
      <w:r>
        <w:t>6. So sánh sơ bộ với hệ thống quản lý khác</w:t>
      </w:r>
    </w:p>
    <w:p>
      <w:r>
        <w:t>Quy trình 20 bước phản ánh sát cách công ty vận hành hơn các công cụ chỉ có trạng thái chung. Việc theo dõi đào tạo ngay trong hồ sơ giúp giảm phân tán thông tin.</w:t>
      </w:r>
    </w:p>
    <w:p>
      <w:pPr>
        <w:pStyle w:val="Heading2"/>
        <w:keepNext/>
      </w:pPr>
      <w:r>
        <w:t>7. Kế hoạch ngày tiếp theo</w:t>
      </w:r>
    </w:p>
    <w:p>
      <w:r>
        <w:t>Ngày tiếp theo kiểm tra lịch chăm sóc, phỏng vấn thị thực, chuyến bay và các mốc sự kiện quan trọng.</w:t>
      </w:r>
    </w:p>
    <w:sectPr w:rsidR="00FC693F" w:rsidRPr="0006063C" w:rsidSect="00034616">
      <w:headerReference w:type="default" r:id="rId9"/>
      <w:footerReference w:type="default" r:id="rId10"/>
      <w:pgSz w:w="11906" w:h="16838"/>
      <w:pgMar w:top="765" w:right="935" w:bottom="709" w:left="935"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A78"/>
        <w:sz w:val="16"/>
      </w:rPr>
      <w:t>POLYMIND  |  BÁO CÁO TIẾN ĐỘ KIỂM THỬ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eastAsia="Arial"/>
      <w:color w:val="2530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eastAsia="Arial"/>
      <w:b/>
      <w:bCs/>
      <w:color w:val="134A7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kiểm thử POLYMIND ngày 22/07/2026</dc:title>
  <dc:subject>Quy trình xử lý hồ sơ và đào tạo</dc:subject>
  <dc:creator>POLYMIND</dc:creator>
  <cp:keywords>POLYMIND, báo cáo kiểm thử, tiến độ</cp:keywords>
  <dc:description>generated by python-docx</dc:description>
  <cp:lastModifiedBy/>
  <cp:revision>1</cp:revision>
  <dcterms:created xsi:type="dcterms:W3CDTF">2013-12-23T23:15:00Z</dcterms:created>
  <dcterms:modified xsi:type="dcterms:W3CDTF">2013-12-23T23:15:00Z</dcterms:modified>
  <cp:category/>
</cp:coreProperties>
</file>