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23/07/2026  •  Lịch hẹn, phỏng vấn, thị thực và chuyến bay</w:t>
      </w:r>
    </w:p>
    <w:p>
      <w:pPr>
        <w:pStyle w:val="Heading2"/>
        <w:keepNext/>
      </w:pPr>
      <w:r>
        <w:t>1. Nội dung kiểm tra trong ngày</w:t>
      </w:r>
    </w:p>
    <w:p>
      <w:pPr>
        <w:pStyle w:val="ListBullet"/>
        <w:spacing w:after="40" w:line="247" w:lineRule="auto"/>
      </w:pPr>
      <w:r>
        <w:t>Lịch chăm sóc người quan tâm, cảnh báo quá hạn và phân công tư vấn viên.</w:t>
      </w:r>
    </w:p>
    <w:p>
      <w:pPr>
        <w:pStyle w:val="ListBullet"/>
        <w:spacing w:after="40" w:line="247" w:lineRule="auto"/>
      </w:pPr>
      <w:r>
        <w:t>Lịch phỏng vấn thị thực, trạng thái được cấp hoặc từ chối và người xử lý.</w:t>
      </w:r>
    </w:p>
    <w:p>
      <w:pPr>
        <w:pStyle w:val="ListBullet"/>
        <w:spacing w:after="40" w:line="247" w:lineRule="auto"/>
      </w:pPr>
      <w:r>
        <w:t>Thông tin chuyến bay, nhắc ngày khởi hành và nhu cầu xác nhận ứng viên đã bay.</w:t>
      </w:r>
    </w:p>
    <w:p>
      <w:pPr>
        <w:pStyle w:val="Heading2"/>
        <w:keepNext/>
      </w:pPr>
      <w:r>
        <w:t>2. Mục tiêu kiểm tra</w:t>
      </w:r>
    </w:p>
    <w:p>
      <w:r>
        <w:t>Giảm bỏ lỡ lịch quan trọng, giúp đúng nhân sự nhận việc và tạo dấu mốc rõ ràng từ tư vấn ban đầu đến xuất cảnh.</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Nhắc chăm sóc và lịch hẹn</w:t>
            </w:r>
          </w:p>
        </w:tc>
        <w:tc>
          <w:tcPr>
            <w:tcW w:type="dxa" w:w="6350"/>
            <w:tcMar>
              <w:top w:w="80" w:type="dxa"/>
              <w:start w:w="100" w:type="dxa"/>
              <w:bottom w:w="80" w:type="dxa"/>
              <w:end w:w="100" w:type="dxa"/>
            </w:tcMar>
            <w:vAlign w:val="center"/>
          </w:tcPr>
          <w:p>
            <w:r>
              <w:rPr>
                <w:sz w:val="18"/>
              </w:rPr>
              <w:t>Đã có quy tắc theo dõi</w:t>
            </w:r>
          </w:p>
        </w:tc>
      </w:tr>
      <w:tr>
        <w:tc>
          <w:tcPr>
            <w:tcW w:type="dxa" w:w="3402"/>
            <w:tcMar>
              <w:top w:w="80" w:type="dxa"/>
              <w:start w:w="100" w:type="dxa"/>
              <w:bottom w:w="80" w:type="dxa"/>
              <w:end w:w="100" w:type="dxa"/>
            </w:tcMar>
            <w:vAlign w:val="center"/>
          </w:tcPr>
          <w:p>
            <w:r>
              <w:rPr>
                <w:sz w:val="18"/>
              </w:rPr>
              <w:t>Người xử lý thị thực/chuyến bay</w:t>
            </w:r>
          </w:p>
        </w:tc>
        <w:tc>
          <w:tcPr>
            <w:tcW w:type="dxa" w:w="6350"/>
            <w:tcMar>
              <w:top w:w="80" w:type="dxa"/>
              <w:start w:w="100" w:type="dxa"/>
              <w:bottom w:w="80" w:type="dxa"/>
              <w:end w:w="100" w:type="dxa"/>
            </w:tcMar>
            <w:vAlign w:val="center"/>
          </w:tcPr>
          <w:p>
            <w:r>
              <w:rPr>
                <w:sz w:val="18"/>
              </w:rPr>
              <w:t>Hai vấn đề đã sửa</w:t>
            </w:r>
          </w:p>
        </w:tc>
      </w:tr>
      <w:tr>
        <w:tc>
          <w:tcPr>
            <w:tcW w:type="dxa" w:w="3402"/>
            <w:tcMar>
              <w:top w:w="80" w:type="dxa"/>
              <w:start w:w="100" w:type="dxa"/>
              <w:bottom w:w="80" w:type="dxa"/>
              <w:end w:w="100" w:type="dxa"/>
            </w:tcMar>
            <w:vAlign w:val="center"/>
          </w:tcPr>
          <w:p>
            <w:r>
              <w:rPr>
                <w:sz w:val="18"/>
              </w:rPr>
              <w:t>Xác nhận đã bay</w:t>
            </w:r>
          </w:p>
        </w:tc>
        <w:tc>
          <w:tcPr>
            <w:tcW w:type="dxa" w:w="6350"/>
            <w:tcMar>
              <w:top w:w="80" w:type="dxa"/>
              <w:start w:w="100" w:type="dxa"/>
              <w:bottom w:w="80" w:type="dxa"/>
              <w:end w:w="100" w:type="dxa"/>
            </w:tcMar>
            <w:vAlign w:val="center"/>
          </w:tcPr>
          <w:p>
            <w:r>
              <w:rPr>
                <w:sz w:val="18"/>
              </w:rPr>
              <w:t>Nhu cầu đã thống nhất nhưng chưa hoàn tất</w:t>
            </w:r>
          </w:p>
        </w:tc>
      </w:tr>
    </w:tbl>
    <w:p>
      <w:pPr>
        <w:pStyle w:val="ListBullet"/>
        <w:spacing w:after="40" w:line="247" w:lineRule="auto"/>
      </w:pPr>
      <w:r>
        <w:t>Hệ thống có khả năng theo dõi lịch chăm sóc và cảnh báo khi công việc bị quá hạn.</w:t>
      </w:r>
    </w:p>
    <w:p>
      <w:pPr>
        <w:pStyle w:val="ListBullet"/>
        <w:spacing w:after="40" w:line="247" w:lineRule="auto"/>
      </w:pPr>
      <w:r>
        <w:t>Hai trường hợp ghi sai người phụ trách thị thực hoặc chuyến bay, có thể dẫn đến nhắc sai người, đã được sửa và kiểm tra lại theo hồ sơ.</w:t>
      </w:r>
    </w:p>
    <w:p>
      <w:pPr>
        <w:pStyle w:val="ListBullet"/>
        <w:spacing w:after="40" w:line="247" w:lineRule="auto"/>
      </w:pPr>
      <w:r>
        <w:t>Quyền xem và cập nhật thị thực được tách theo phòng ban; nhắc khởi hành dựa trên người liên quan của hồ sơ.</w:t>
      </w:r>
    </w:p>
    <w:p>
      <w:pPr>
        <w:pStyle w:val="Heading2"/>
        <w:keepNext/>
      </w:pPr>
      <w:r>
        <w:t>4. Vấn đề cần lưu ý</w:t>
      </w:r>
    </w:p>
    <w:p>
      <w:pPr>
        <w:pStyle w:val="ListBullet"/>
        <w:spacing w:after="40" w:line="247" w:lineRule="auto"/>
      </w:pPr>
      <w:r>
        <w:t>Nút xác nhận ứng viên đã bay và lịch sử thao tác cho thị thực/chuyến bay là yêu cầu đã chốt nhưng chưa có bằng chứng hoàn tất.</w:t>
      </w:r>
    </w:p>
    <w:p>
      <w:pPr>
        <w:pStyle w:val="ListBullet"/>
        <w:spacing w:after="40" w:line="247" w:lineRule="auto"/>
      </w:pPr>
      <w:r>
        <w:t>Nhắc việc theo thời gian thực và lịch ở ranh giới ngày cần được kiểm tra thêm.</w:t>
      </w:r>
    </w:p>
    <w:p>
      <w:pPr>
        <w:pStyle w:val="Heading2"/>
        <w:keepNext/>
      </w:pPr>
      <w:r>
        <w:t>5. Đánh giá chung</w:t>
      </w:r>
    </w:p>
    <w:p>
      <w:pPr>
        <w:spacing w:after="60"/>
        <w:ind w:left="142" w:right="142"/>
        <w:shd w:fill="EEF5F9"/>
      </w:pPr>
      <w:r>
        <w:rPr>
          <w:b/>
        </w:rPr>
        <w:t>Cần điều chỉnh thêm. Các lỗi ghi sai người phụ trách đã được xử lý, nhưng hai nhu cầu vận hành quan trọng liên quan đến xác nhận đã bay và lịch sử thay đổi vẫn còn mở.</w:t>
      </w:r>
    </w:p>
    <w:p>
      <w:pPr>
        <w:pStyle w:val="Heading2"/>
        <w:keepNext/>
      </w:pPr>
      <w:r>
        <w:t>6. So sánh sơ bộ với hệ thống quản lý khác</w:t>
      </w:r>
    </w:p>
    <w:p>
      <w:r>
        <w:t>Khả năng liên kết lịch chăm sóc, phỏng vấn và chuyến bay với một hồ sơ giúp giảm dùng nhiều bảng theo dõi rời. Mốc “đã bay” cần rõ ràng để hoàn thiện lợi ích này.</w:t>
      </w:r>
    </w:p>
    <w:p>
      <w:pPr>
        <w:pStyle w:val="Heading2"/>
        <w:keepNext/>
      </w:pPr>
      <w:r>
        <w:t>7. Kế hoạch ngày tiếp theo</w:t>
      </w:r>
    </w:p>
    <w:p>
      <w:r>
        <w:t>Ngày tiếp theo tập trung vào khoản thu, khoản chi, phiếu thu, khoản vay và thu hồi công nợ.</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23/07/2026</dc:title>
  <dc:subject>Lịch hẹn, phỏng vấn, thị thực và chuyến bay</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