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24/07/2026  •  Tài chính, khoản vay và thu hồi công nợ</w:t>
      </w:r>
    </w:p>
    <w:p>
      <w:pPr>
        <w:pStyle w:val="Heading2"/>
        <w:keepNext/>
      </w:pPr>
      <w:r>
        <w:t>1. Nội dung kiểm tra trong ngày</w:t>
      </w:r>
    </w:p>
    <w:p>
      <w:pPr>
        <w:pStyle w:val="ListBullet"/>
        <w:spacing w:after="40" w:line="247" w:lineRule="auto"/>
      </w:pPr>
      <w:r>
        <w:t>Lịch đóng tiền bốn giai đoạn, ghi nhận ứng viên đã nộp và bước kế toán xác nhận đã thu.</w:t>
      </w:r>
    </w:p>
    <w:p>
      <w:pPr>
        <w:pStyle w:val="ListBullet"/>
        <w:spacing w:after="40" w:line="247" w:lineRule="auto"/>
      </w:pPr>
      <w:r>
        <w:t>Tự lập phiếu sau khi duyệt, quản lý khoản thu lẻ, khoản chi, tổng đã thu và kho lưu trữ.</w:t>
      </w:r>
    </w:p>
    <w:p>
      <w:pPr>
        <w:pStyle w:val="ListBullet"/>
        <w:spacing w:after="40" w:line="247" w:lineRule="auto"/>
      </w:pPr>
      <w:r>
        <w:t>Vay ngân hàng, nợ công ty, thu từng kỳ hoặc thu hết và điều kiện tất toán.</w:t>
      </w:r>
    </w:p>
    <w:p>
      <w:pPr>
        <w:pStyle w:val="Heading2"/>
        <w:keepNext/>
      </w:pPr>
      <w:r>
        <w:t>2. Mục tiêu kiểm tra</w:t>
      </w:r>
    </w:p>
    <w:p>
      <w:r>
        <w:t>Bảo đảm số tiền được ghi nhận đúng thời điểm, có chứng từ, không tính hoa hồng quá sớm và không đóng khoản nợ khi chưa thu đủ.</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Thứ tự đóng tiền</w:t>
            </w:r>
          </w:p>
        </w:tc>
        <w:tc>
          <w:tcPr>
            <w:tcW w:type="dxa" w:w="6350"/>
            <w:tcMar>
              <w:top w:w="80" w:type="dxa"/>
              <w:start w:w="100" w:type="dxa"/>
              <w:bottom w:w="80" w:type="dxa"/>
              <w:end w:w="100" w:type="dxa"/>
            </w:tcMar>
            <w:vAlign w:val="center"/>
          </w:tcPr>
          <w:p>
            <w:r>
              <w:rPr>
                <w:sz w:val="18"/>
              </w:rPr>
              <w:t>Vấn đề đã sửa và kiểm tra lại</w:t>
            </w:r>
          </w:p>
        </w:tc>
      </w:tr>
      <w:tr>
        <w:tc>
          <w:tcPr>
            <w:tcW w:type="dxa" w:w="3402"/>
            <w:tcMar>
              <w:top w:w="80" w:type="dxa"/>
              <w:start w:w="100" w:type="dxa"/>
              <w:bottom w:w="80" w:type="dxa"/>
              <w:end w:w="100" w:type="dxa"/>
            </w:tcMar>
            <w:vAlign w:val="center"/>
          </w:tcPr>
          <w:p>
            <w:r>
              <w:rPr>
                <w:sz w:val="18"/>
              </w:rPr>
              <w:t>Tách báo nộp với kế toán duyệt</w:t>
            </w:r>
          </w:p>
        </w:tc>
        <w:tc>
          <w:tcPr>
            <w:tcW w:type="dxa" w:w="6350"/>
            <w:tcMar>
              <w:top w:w="80" w:type="dxa"/>
              <w:start w:w="100" w:type="dxa"/>
              <w:bottom w:w="80" w:type="dxa"/>
              <w:end w:w="100" w:type="dxa"/>
            </w:tcMar>
            <w:vAlign w:val="center"/>
          </w:tcPr>
          <w:p>
            <w:r>
              <w:rPr>
                <w:sz w:val="18"/>
              </w:rPr>
              <w:t>Đã điều chỉnh; chờ người dùng xác nhận</w:t>
            </w:r>
          </w:p>
        </w:tc>
      </w:tr>
      <w:tr>
        <w:tc>
          <w:tcPr>
            <w:tcW w:type="dxa" w:w="3402"/>
            <w:tcMar>
              <w:top w:w="80" w:type="dxa"/>
              <w:start w:w="100" w:type="dxa"/>
              <w:bottom w:w="80" w:type="dxa"/>
              <w:end w:w="100" w:type="dxa"/>
            </w:tcMar>
            <w:vAlign w:val="center"/>
          </w:tcPr>
          <w:p>
            <w:r>
              <w:rPr>
                <w:sz w:val="18"/>
              </w:rPr>
              <w:t>Tất toán nợ công ty</w:t>
            </w:r>
          </w:p>
        </w:tc>
        <w:tc>
          <w:tcPr>
            <w:tcW w:type="dxa" w:w="6350"/>
            <w:tcMar>
              <w:top w:w="80" w:type="dxa"/>
              <w:start w:w="100" w:type="dxa"/>
              <w:bottom w:w="80" w:type="dxa"/>
              <w:end w:w="100" w:type="dxa"/>
            </w:tcMar>
            <w:vAlign w:val="center"/>
          </w:tcPr>
          <w:p>
            <w:r>
              <w:rPr>
                <w:sz w:val="18"/>
              </w:rPr>
              <w:t>Chỉ cho phép khi đã thu đủ</w:t>
            </w:r>
          </w:p>
        </w:tc>
      </w:tr>
    </w:tbl>
    <w:p>
      <w:pPr>
        <w:pStyle w:val="ListBullet"/>
        <w:spacing w:after="40" w:line="247" w:lineRule="auto"/>
      </w:pPr>
      <w:r>
        <w:t>Vấn đề một số cách xác nhận tiền bỏ qua thứ tự hoặc không tạo hoa hồng đúng lúc đã được sửa.</w:t>
      </w:r>
    </w:p>
    <w:p>
      <w:pPr>
        <w:pStyle w:val="ListBullet"/>
        <w:spacing w:after="40" w:line="247" w:lineRule="auto"/>
      </w:pPr>
      <w:r>
        <w:t>Quy trình mới đã tách bước ứng viên báo nộp với bước kế toán duyệt; phiếu thu chỉ được lập sau khi duyệt và hồ sơ đóng đủ có thể đưa vào kho lưu trữ.</w:t>
      </w:r>
    </w:p>
    <w:p>
      <w:pPr>
        <w:pStyle w:val="ListBullet"/>
        <w:spacing w:after="40" w:line="247" w:lineRule="auto"/>
      </w:pPr>
      <w:r>
        <w:t>Nợ công ty chỉ được tất toán khi thu đủ 100%; khoản vay ngân hàng không còn chặn nhầm việc hoàn thành hồ sơ.</w:t>
      </w:r>
    </w:p>
    <w:p>
      <w:pPr>
        <w:pStyle w:val="Heading2"/>
        <w:keepNext/>
      </w:pPr>
      <w:r>
        <w:t>4. Vấn đề cần lưu ý</w:t>
      </w:r>
    </w:p>
    <w:p>
      <w:pPr>
        <w:pStyle w:val="ListBullet"/>
        <w:spacing w:after="40" w:line="247" w:lineRule="auto"/>
      </w:pPr>
      <w:r>
        <w:t>Thay đổi lớn về tiến độ đóng tiền và kho lưu trữ đang chờ kế toán xác nhận trực tiếp trên giao diện.</w:t>
      </w:r>
    </w:p>
    <w:p>
      <w:pPr>
        <w:pStyle w:val="ListBullet"/>
        <w:spacing w:after="40" w:line="247" w:lineRule="auto"/>
      </w:pPr>
      <w:r>
        <w:t>Luồng duyệt khoản chi là nhu cầu đã thống nhất nhưng chưa có bằng chứng hoàn tất.</w:t>
      </w:r>
    </w:p>
    <w:p>
      <w:pPr>
        <w:pStyle w:val="Heading2"/>
        <w:keepNext/>
      </w:pPr>
      <w:r>
        <w:t>5. Đánh giá chung</w:t>
      </w:r>
    </w:p>
    <w:p>
      <w:pPr>
        <w:spacing w:after="60"/>
        <w:ind w:left="142" w:right="142"/>
        <w:shd w:fill="EEF5F9"/>
      </w:pPr>
      <w:r>
        <w:rPr>
          <w:b/>
        </w:rPr>
        <w:t>Cần tiếp tục xác nhận. Các nguyên tắc tiền và công nợ đã chặt chẽ hơn, nhưng khu vực vừa thay đổi lớn nên chưa nên đưa vào vận hành chính thức trước khi kế toán dùng thử.</w:t>
      </w:r>
    </w:p>
    <w:p>
      <w:pPr>
        <w:pStyle w:val="Heading2"/>
        <w:keepNext/>
      </w:pPr>
      <w:r>
        <w:t>6. So sánh sơ bộ với hệ thống quản lý khác</w:t>
      </w:r>
    </w:p>
    <w:p>
      <w:r>
        <w:t>Việc tách “đã báo nộp” và “đã được kế toán duyệt” là điểm phù hợp với kiểm soát nội bộ. Khả năng lập phiếu và theo dõi nợ trong cùng hệ thống giúp giảm đối chiếu thủ công.</w:t>
      </w:r>
    </w:p>
    <w:p>
      <w:pPr>
        <w:pStyle w:val="Heading2"/>
        <w:keepNext/>
      </w:pPr>
      <w:r>
        <w:t>7. Kế hoạch ngày tiếp theo</w:t>
      </w:r>
    </w:p>
    <w:p>
      <w:r>
        <w:t>Ngày tiếp theo kiểm tra tài liệu ứng viên, phiên bản tệp và lịch sử các thao tác quan trọng.</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24/07/2026</dc:title>
  <dc:subject>Tài chính, khoản vay và thu hồi công nợ</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