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14368"/>
          <w:sz w:val="30"/>
        </w:rPr>
        <w:t>BÁO CÁO TIẾN ĐỘ KIỂM THỬ</w:t>
        <w:br/>
        <w:t>HỆ THỐNG POLYMIND</w:t>
      </w:r>
    </w:p>
    <w:p>
      <w:pPr>
        <w:spacing w:after="100"/>
        <w:jc w:val="center"/>
      </w:pPr>
      <w:r>
        <w:rPr>
          <w:b/>
          <w:color w:val="4E5B69"/>
          <w:sz w:val="19"/>
        </w:rPr>
        <w:t>Ngày báo cáo: 29/07/2026  •  Phân quyền giữa các bộ phận và đối tác</w:t>
      </w:r>
    </w:p>
    <w:p>
      <w:pPr>
        <w:pStyle w:val="Heading2"/>
        <w:keepNext/>
      </w:pPr>
      <w:r>
        <w:t>1. Nội dung kiểm tra trong ngày</w:t>
      </w:r>
    </w:p>
    <w:p>
      <w:pPr>
        <w:pStyle w:val="ListBullet"/>
        <w:spacing w:after="40" w:line="247" w:lineRule="auto"/>
      </w:pPr>
      <w:r>
        <w:t>Đối chiếu quyền của lãnh đạo, kế toán, quản lý tuyển dụng, tư vấn, tuyển dụng, hồ sơ và thị thực.</w:t>
      </w:r>
    </w:p>
    <w:p>
      <w:pPr>
        <w:pStyle w:val="ListBullet"/>
        <w:spacing w:after="40" w:line="247" w:lineRule="auto"/>
      </w:pPr>
      <w:r>
        <w:t>Kiểm tra phạm vi riêng của đại lý, cộng tác viên, học viên và phụ huynh.</w:t>
      </w:r>
    </w:p>
    <w:p>
      <w:pPr>
        <w:pStyle w:val="ListBullet"/>
        <w:spacing w:after="40" w:line="247" w:lineRule="auto"/>
      </w:pPr>
      <w:r>
        <w:t>Rà soát quyền xem tiền, đào tạo, báo cáo, tin nhắn và hồ sơ khi người dùng cố mở trực tiếp khu vực ngoài nhiệm vụ.</w:t>
      </w:r>
    </w:p>
    <w:p>
      <w:pPr>
        <w:pStyle w:val="Heading2"/>
        <w:keepNext/>
      </w:pPr>
      <w:r>
        <w:t>2. Mục tiêu kiểm tra</w:t>
      </w:r>
    </w:p>
    <w:p>
      <w:r>
        <w:t>Ngăn lộ dữ liệu giữa phòng ban và đối tác, đồng thời bảo đảm mỗi nhóm vẫn có đủ thông tin để hoàn thành công việc.</w:t>
      </w:r>
    </w:p>
    <w:p>
      <w:pPr>
        <w:pStyle w:val="Heading2"/>
        <w:keepNext/>
      </w:pPr>
      <w:r>
        <w:t>3. Kết quả sơ bộ</w:t>
      </w:r>
    </w:p>
    <w:tbl>
      <w:tblPr>
        <w:tblStyle w:val="TableGrid"/>
        <w:tblW w:type="auto" w:w="0"/>
        <w:jc w:val="center"/>
        <w:tblLayout w:type="fixed"/>
        <w:tblLook w:firstColumn="1" w:firstRow="1" w:lastColumn="0" w:lastRow="0" w:noHBand="0" w:noVBand="1" w:val="04A0"/>
      </w:tblPr>
      <w:tblGrid>
        <w:gridCol w:w="3402"/>
        <w:gridCol w:w="6350"/>
      </w:tblGrid>
      <w:tr>
        <w:tc>
          <w:tcPr>
            <w:tcW w:type="dxa" w:w="5018"/>
            <w:shd w:fill="D9EAF5"/>
            <w:tcMar>
              <w:top w:w="80" w:type="dxa"/>
              <w:start w:w="100" w:type="dxa"/>
              <w:bottom w:w="80" w:type="dxa"/>
              <w:end w:w="100" w:type="dxa"/>
            </w:tcMar>
            <w:vAlign w:val="center"/>
          </w:tcPr>
          <w:p>
            <w:r>
              <w:rPr>
                <w:b/>
                <w:sz w:val="19"/>
              </w:rPr>
              <w:t>Nội dung</w:t>
            </w:r>
          </w:p>
        </w:tc>
        <w:tc>
          <w:tcPr>
            <w:tcW w:type="dxa" w:w="5018"/>
            <w:shd w:fill="D9EAF5"/>
            <w:tcMar>
              <w:top w:w="80" w:type="dxa"/>
              <w:start w:w="100" w:type="dxa"/>
              <w:bottom w:w="80" w:type="dxa"/>
              <w:end w:w="100" w:type="dxa"/>
            </w:tcMar>
            <w:vAlign w:val="center"/>
          </w:tcPr>
          <w:p>
            <w:r>
              <w:rPr>
                <w:b/>
                <w:sz w:val="19"/>
              </w:rPr>
              <w:t>Kết quả</w:t>
            </w:r>
          </w:p>
        </w:tc>
      </w:tr>
      <w:tr>
        <w:tc>
          <w:tcPr>
            <w:tcW w:type="dxa" w:w="3402"/>
            <w:tcMar>
              <w:top w:w="80" w:type="dxa"/>
              <w:start w:w="100" w:type="dxa"/>
              <w:bottom w:w="80" w:type="dxa"/>
              <w:end w:w="100" w:type="dxa"/>
            </w:tcMar>
            <w:vAlign w:val="center"/>
          </w:tcPr>
          <w:p>
            <w:r>
              <w:rPr>
                <w:sz w:val="18"/>
              </w:rPr>
              <w:t>Quyền phòng ban</w:t>
            </w:r>
          </w:p>
        </w:tc>
        <w:tc>
          <w:tcPr>
            <w:tcW w:type="dxa" w:w="6350"/>
            <w:tcMar>
              <w:top w:w="80" w:type="dxa"/>
              <w:start w:w="100" w:type="dxa"/>
              <w:bottom w:w="80" w:type="dxa"/>
              <w:end w:w="100" w:type="dxa"/>
            </w:tcMar>
            <w:vAlign w:val="center"/>
          </w:tcPr>
          <w:p>
            <w:r>
              <w:rPr>
                <w:sz w:val="18"/>
              </w:rPr>
              <w:t>Đã có bảng phân chia theo công việc</w:t>
            </w:r>
          </w:p>
        </w:tc>
      </w:tr>
      <w:tr>
        <w:tc>
          <w:tcPr>
            <w:tcW w:type="dxa" w:w="3402"/>
            <w:tcMar>
              <w:top w:w="80" w:type="dxa"/>
              <w:start w:w="100" w:type="dxa"/>
              <w:bottom w:w="80" w:type="dxa"/>
              <w:end w:w="100" w:type="dxa"/>
            </w:tcMar>
            <w:vAlign w:val="center"/>
          </w:tcPr>
          <w:p>
            <w:r>
              <w:rPr>
                <w:sz w:val="18"/>
              </w:rPr>
              <w:t>Phạm vi đối tác/gia đình</w:t>
            </w:r>
          </w:p>
        </w:tc>
        <w:tc>
          <w:tcPr>
            <w:tcW w:type="dxa" w:w="6350"/>
            <w:tcMar>
              <w:top w:w="80" w:type="dxa"/>
              <w:start w:w="100" w:type="dxa"/>
              <w:bottom w:w="80" w:type="dxa"/>
              <w:end w:w="100" w:type="dxa"/>
            </w:tcMar>
            <w:vAlign w:val="center"/>
          </w:tcPr>
          <w:p>
            <w:r>
              <w:rPr>
                <w:sz w:val="18"/>
              </w:rPr>
              <w:t>Có giới hạn theo ứng viên liên quan</w:t>
            </w:r>
          </w:p>
        </w:tc>
      </w:tr>
      <w:tr>
        <w:tc>
          <w:tcPr>
            <w:tcW w:type="dxa" w:w="3402"/>
            <w:tcMar>
              <w:top w:w="80" w:type="dxa"/>
              <w:start w:w="100" w:type="dxa"/>
              <w:bottom w:w="80" w:type="dxa"/>
              <w:end w:w="100" w:type="dxa"/>
            </w:tcMar>
            <w:vAlign w:val="center"/>
          </w:tcPr>
          <w:p>
            <w:r>
              <w:rPr>
                <w:sz w:val="18"/>
              </w:rPr>
              <w:t>Các quyền vừa siết lại</w:t>
            </w:r>
          </w:p>
        </w:tc>
        <w:tc>
          <w:tcPr>
            <w:tcW w:type="dxa" w:w="6350"/>
            <w:tcMar>
              <w:top w:w="80" w:type="dxa"/>
              <w:start w:w="100" w:type="dxa"/>
              <w:bottom w:w="80" w:type="dxa"/>
              <w:end w:w="100" w:type="dxa"/>
            </w:tcMar>
            <w:vAlign w:val="center"/>
          </w:tcPr>
          <w:p>
            <w:r>
              <w:rPr>
                <w:sz w:val="18"/>
              </w:rPr>
              <w:t>Chờ xác nhận độc lập</w:t>
            </w:r>
          </w:p>
        </w:tc>
      </w:tr>
    </w:tbl>
    <w:p>
      <w:pPr>
        <w:pStyle w:val="ListBullet"/>
        <w:spacing w:after="40" w:line="247" w:lineRule="auto"/>
      </w:pPr>
      <w:r>
        <w:t>Các kiểm tra chính cho thấy người dùng không có quyền quản trị, tài chính hoặc lịch sử sẽ bị ngăn ở những khu vực tương ứng.</w:t>
      </w:r>
    </w:p>
    <w:p>
      <w:pPr>
        <w:pStyle w:val="ListBullet"/>
        <w:spacing w:after="40" w:line="247" w:lineRule="auto"/>
      </w:pPr>
      <w:r>
        <w:t>Đại lý, cộng tác viên và gia đình không được xem toàn bộ dữ liệu công ty; phạm vi dựa trên ứng viên liên quan.</w:t>
      </w:r>
    </w:p>
    <w:p>
      <w:pPr>
        <w:pStyle w:val="ListBullet"/>
        <w:spacing w:after="40" w:line="247" w:lineRule="auto"/>
      </w:pPr>
      <w:r>
        <w:t>Quyền xem tiền, truy cập đào tạo và nhắn tin đã được siết thêm theo quyết định mới ngày 13/07.</w:t>
      </w:r>
    </w:p>
    <w:p>
      <w:pPr>
        <w:pStyle w:val="Heading2"/>
        <w:keepNext/>
      </w:pPr>
      <w:r>
        <w:t>4. Vấn đề cần lưu ý</w:t>
      </w:r>
    </w:p>
    <w:p>
      <w:pPr>
        <w:pStyle w:val="ListBullet"/>
        <w:spacing w:after="40" w:line="247" w:lineRule="auto"/>
      </w:pPr>
      <w:r>
        <w:t>Các thay đổi mới cần được xác nhận bằng bộ tài khoản đại diện cho từng vai trò trên giao diện.</w:t>
      </w:r>
    </w:p>
    <w:p>
      <w:pPr>
        <w:pStyle w:val="ListBullet"/>
        <w:spacing w:after="40" w:line="247" w:lineRule="auto"/>
      </w:pPr>
      <w:r>
        <w:t>Khi thay đổi vai trò hoặc khóa tài khoản, một số hình thức đăng nhập có thời hạn dài vẫn cần quyết định về mức thu hồi ngay lập tức.</w:t>
      </w:r>
    </w:p>
    <w:p>
      <w:pPr>
        <w:pStyle w:val="Heading2"/>
        <w:keepNext/>
      </w:pPr>
      <w:r>
        <w:t>5. Đánh giá chung</w:t>
      </w:r>
    </w:p>
    <w:p>
      <w:pPr>
        <w:spacing w:after="60"/>
        <w:ind w:left="142" w:right="142"/>
        <w:shd w:fill="EEF5F9"/>
      </w:pPr>
      <w:r>
        <w:rPr>
          <w:b/>
        </w:rPr>
        <w:t>Đang tiếp tục kiểm tra. Cấu trúc quyền tương đối đầy đủ và có nguyên tắc đóng khi không xác định được vai trò; phần thay đổi mới chưa đủ dữ liệu thực tế để kết luận.</w:t>
      </w:r>
    </w:p>
    <w:p>
      <w:pPr>
        <w:pStyle w:val="Heading2"/>
        <w:keepNext/>
      </w:pPr>
      <w:r>
        <w:t>6. So sánh sơ bộ với hệ thống quản lý khác</w:t>
      </w:r>
    </w:p>
    <w:p>
      <w:r>
        <w:t>Mức phân quyền của POLYMIND sát với cơ cấu nhiều phòng ban và mạng lưới đối tác. So với quyền chung theo nhóm lớn, cách này an toàn hơn nhưng đòi hỏi quản trị và kiểm tra định kỳ.</w:t>
      </w:r>
    </w:p>
    <w:p>
      <w:pPr>
        <w:pStyle w:val="Heading2"/>
        <w:keepNext/>
      </w:pPr>
      <w:r>
        <w:t>7. Kế hoạch ngày tiếp theo</w:t>
      </w:r>
    </w:p>
    <w:p>
      <w:r>
        <w:t>Ngày tiếp theo kiểm tra dữ liệu sai, dữ liệu thiếu, thao tác lặp và các điều kiện bất thường khi vận hành.</w:t>
      </w:r>
    </w:p>
    <w:sectPr w:rsidR="00FC693F" w:rsidRPr="0006063C" w:rsidSect="00034616">
      <w:headerReference w:type="default" r:id="rId9"/>
      <w:footerReference w:type="default" r:id="rId10"/>
      <w:pgSz w:w="11906" w:h="16838"/>
      <w:pgMar w:top="765" w:right="935" w:bottom="709"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A78"/>
        <w:sz w:val="16"/>
      </w:rPr>
      <w:t>POLYMIND  |  BÁO CÁO TIẾN ĐỘ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530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134A7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kiểm thử POLYMIND ngày 29/07/2026</dc:title>
  <dc:subject>Phân quyền giữa các bộ phận và đối tác</dc:subject>
  <dc:creator>POLYMIND</dc:creator>
  <cp:keywords>POLYMIND, báo cáo kiểm thử, tiến độ</cp:keywords>
  <dc:description>generated by python-docx</dc:description>
  <cp:lastModifiedBy/>
  <cp:revision>1</cp:revision>
  <dcterms:created xsi:type="dcterms:W3CDTF">2013-12-23T23:15:00Z</dcterms:created>
  <dcterms:modified xsi:type="dcterms:W3CDTF">2013-12-23T23:15:00Z</dcterms:modified>
  <cp:category/>
</cp:coreProperties>
</file>