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color w:val="114368"/>
          <w:sz w:val="30"/>
        </w:rPr>
        <w:t>BÁO CÁO TIẾN ĐỘ KIỂM THỬ</w:t>
        <w:br/>
        <w:t>HỆ THỐNG POLYMIND</w:t>
      </w:r>
    </w:p>
    <w:p>
      <w:pPr>
        <w:spacing w:after="100"/>
        <w:jc w:val="center"/>
      </w:pPr>
      <w:r>
        <w:rPr>
          <w:b/>
          <w:color w:val="4E5B69"/>
          <w:sz w:val="19"/>
        </w:rPr>
        <w:t>Ngày báo cáo: 31/07/2026  •  Tổng hợp vấn đề và xác nhận nội dung đã sửa</w:t>
      </w:r>
    </w:p>
    <w:p>
      <w:pPr>
        <w:pStyle w:val="Heading2"/>
        <w:keepNext/>
      </w:pPr>
      <w:r>
        <w:t>1. Nội dung kiểm tra trong ngày</w:t>
      </w:r>
    </w:p>
    <w:p>
      <w:pPr>
        <w:pStyle w:val="ListBullet"/>
        <w:spacing w:after="40" w:line="247" w:lineRule="auto"/>
      </w:pPr>
      <w:r>
        <w:t>Tổng hợp các vấn đề có ảnh hưởng đến tài khoản, quyền truy cập, trách nhiệm người thao tác, tiền, nhắc việc và báo cáo.</w:t>
      </w:r>
    </w:p>
    <w:p>
      <w:pPr>
        <w:pStyle w:val="ListBullet"/>
        <w:spacing w:after="40" w:line="247" w:lineRule="auto"/>
      </w:pPr>
      <w:r>
        <w:t>Đối chiếu tình trạng đã sửa, đã kiểm tra lại, đang chờ xác nhận hoặc chưa có bằng chứng hoàn tất.</w:t>
      </w:r>
    </w:p>
    <w:p>
      <w:pPr>
        <w:pStyle w:val="ListBullet"/>
        <w:spacing w:after="40" w:line="247" w:lineRule="auto"/>
      </w:pPr>
      <w:r>
        <w:t>Rà soát nguy cơ ảnh hưởng chéo giữa các khu vực sau khi điều chỉnh.</w:t>
      </w:r>
    </w:p>
    <w:p>
      <w:pPr>
        <w:pStyle w:val="Heading2"/>
        <w:keepNext/>
      </w:pPr>
      <w:r>
        <w:t>2. Mục tiêu kiểm tra</w:t>
      </w:r>
    </w:p>
    <w:p>
      <w:r>
        <w:t>Giúp quản lý phân biệt rõ vấn đề nào đã được xử lý, vấn đề nào còn mở và khu vực nào cần ưu tiên xác nhận trước khi đưa vào sử dụng.</w:t>
      </w:r>
    </w:p>
    <w:p>
      <w:pPr>
        <w:pStyle w:val="Heading2"/>
        <w:keepNext/>
      </w:pPr>
      <w:r>
        <w:t>3. Kết quả sơ bộ</w:t>
      </w:r>
    </w:p>
    <w:tbl>
      <w:tblPr>
        <w:tblStyle w:val="TableGrid"/>
        <w:tblW w:type="auto" w:w="0"/>
        <w:jc w:val="center"/>
        <w:tblLayout w:type="fixed"/>
        <w:tblLook w:firstColumn="1" w:firstRow="1" w:lastColumn="0" w:lastRow="0" w:noHBand="0" w:noVBand="1" w:val="04A0"/>
      </w:tblPr>
      <w:tblGrid>
        <w:gridCol w:w="3402"/>
        <w:gridCol w:w="6350"/>
      </w:tblGrid>
      <w:tr>
        <w:tc>
          <w:tcPr>
            <w:tcW w:type="dxa" w:w="5018"/>
            <w:shd w:fill="D9EAF5"/>
            <w:tcMar>
              <w:top w:w="80" w:type="dxa"/>
              <w:start w:w="100" w:type="dxa"/>
              <w:bottom w:w="80" w:type="dxa"/>
              <w:end w:w="100" w:type="dxa"/>
            </w:tcMar>
            <w:vAlign w:val="center"/>
          </w:tcPr>
          <w:p>
            <w:r>
              <w:rPr>
                <w:b/>
                <w:sz w:val="19"/>
              </w:rPr>
              <w:t>Nội dung</w:t>
            </w:r>
          </w:p>
        </w:tc>
        <w:tc>
          <w:tcPr>
            <w:tcW w:type="dxa" w:w="5018"/>
            <w:shd w:fill="D9EAF5"/>
            <w:tcMar>
              <w:top w:w="80" w:type="dxa"/>
              <w:start w:w="100" w:type="dxa"/>
              <w:bottom w:w="80" w:type="dxa"/>
              <w:end w:w="100" w:type="dxa"/>
            </w:tcMar>
            <w:vAlign w:val="center"/>
          </w:tcPr>
          <w:p>
            <w:r>
              <w:rPr>
                <w:b/>
                <w:sz w:val="19"/>
              </w:rPr>
              <w:t>Kết quả</w:t>
            </w:r>
          </w:p>
        </w:tc>
      </w:tr>
      <w:tr>
        <w:tc>
          <w:tcPr>
            <w:tcW w:type="dxa" w:w="3402"/>
            <w:tcMar>
              <w:top w:w="80" w:type="dxa"/>
              <w:start w:w="100" w:type="dxa"/>
              <w:bottom w:w="80" w:type="dxa"/>
              <w:end w:w="100" w:type="dxa"/>
            </w:tcMar>
            <w:vAlign w:val="center"/>
          </w:tcPr>
          <w:p>
            <w:r>
              <w:rPr>
                <w:sz w:val="18"/>
              </w:rPr>
              <w:t>Vấn đề đã sửa và kiểm tra lại</w:t>
            </w:r>
          </w:p>
        </w:tc>
        <w:tc>
          <w:tcPr>
            <w:tcW w:type="dxa" w:w="6350"/>
            <w:tcMar>
              <w:top w:w="80" w:type="dxa"/>
              <w:start w:w="100" w:type="dxa"/>
              <w:bottom w:w="80" w:type="dxa"/>
              <w:end w:w="100" w:type="dxa"/>
            </w:tcMar>
            <w:vAlign w:val="center"/>
          </w:tcPr>
          <w:p>
            <w:r>
              <w:rPr>
                <w:sz w:val="18"/>
              </w:rPr>
              <w:t>Có ở nhiều nhóm chức năng trọng yếu</w:t>
            </w:r>
          </w:p>
        </w:tc>
      </w:tr>
      <w:tr>
        <w:tc>
          <w:tcPr>
            <w:tcW w:type="dxa" w:w="3402"/>
            <w:tcMar>
              <w:top w:w="80" w:type="dxa"/>
              <w:start w:w="100" w:type="dxa"/>
              <w:bottom w:w="80" w:type="dxa"/>
              <w:end w:w="100" w:type="dxa"/>
            </w:tcMar>
            <w:vAlign w:val="center"/>
          </w:tcPr>
          <w:p>
            <w:r>
              <w:rPr>
                <w:sz w:val="18"/>
              </w:rPr>
              <w:t>Thay đổi mới chờ xác nhận</w:t>
            </w:r>
          </w:p>
        </w:tc>
        <w:tc>
          <w:tcPr>
            <w:tcW w:type="dxa" w:w="6350"/>
            <w:tcMar>
              <w:top w:w="80" w:type="dxa"/>
              <w:start w:w="100" w:type="dxa"/>
              <w:bottom w:w="80" w:type="dxa"/>
              <w:end w:w="100" w:type="dxa"/>
            </w:tcMar>
            <w:vAlign w:val="center"/>
          </w:tcPr>
          <w:p>
            <w:r>
              <w:rPr>
                <w:sz w:val="18"/>
              </w:rPr>
              <w:t>Tài chính, quyền cộng tác viên và nhắn tin</w:t>
            </w:r>
          </w:p>
        </w:tc>
      </w:tr>
      <w:tr>
        <w:tc>
          <w:tcPr>
            <w:tcW w:type="dxa" w:w="3402"/>
            <w:tcMar>
              <w:top w:w="80" w:type="dxa"/>
              <w:start w:w="100" w:type="dxa"/>
              <w:bottom w:w="80" w:type="dxa"/>
              <w:end w:w="100" w:type="dxa"/>
            </w:tcMar>
            <w:vAlign w:val="center"/>
          </w:tcPr>
          <w:p>
            <w:r>
              <w:rPr>
                <w:sz w:val="18"/>
              </w:rPr>
              <w:t>Yêu cầu chưa hoàn tất</w:t>
            </w:r>
          </w:p>
        </w:tc>
        <w:tc>
          <w:tcPr>
            <w:tcW w:type="dxa" w:w="6350"/>
            <w:tcMar>
              <w:top w:w="80" w:type="dxa"/>
              <w:start w:w="100" w:type="dxa"/>
              <w:bottom w:w="80" w:type="dxa"/>
              <w:end w:w="100" w:type="dxa"/>
            </w:tcMar>
            <w:vAlign w:val="center"/>
          </w:tcPr>
          <w:p>
            <w:r>
              <w:rPr>
                <w:sz w:val="18"/>
              </w:rPr>
              <w:t>Khoản chi, xác nhận đã bay và lịch sử liên quan</w:t>
            </w:r>
          </w:p>
        </w:tc>
      </w:tr>
    </w:tbl>
    <w:p>
      <w:pPr>
        <w:pStyle w:val="ListBullet"/>
        <w:spacing w:after="40" w:line="247" w:lineRule="auto"/>
      </w:pPr>
      <w:r>
        <w:t>Các vấn đề về khóa tài khoản, phạm vi dữ liệu, dọn liên kết phụ huynh và ghi nhận người thao tác đã có kết quả xử lý rõ ràng.</w:t>
      </w:r>
    </w:p>
    <w:p>
      <w:pPr>
        <w:pStyle w:val="ListBullet"/>
        <w:spacing w:after="40" w:line="247" w:lineRule="auto"/>
      </w:pPr>
      <w:r>
        <w:t>Các vấn đề về hoa hồng trùng, thứ tự ghi nhận tiền, tất toán công nợ, người nhận thông báo, dữ liệu trợ lý và khoảng thời gian báo cáo cũng đã được sửa và kiểm tra lại trong phạm vi hồ sơ.</w:t>
      </w:r>
    </w:p>
    <w:p>
      <w:pPr>
        <w:pStyle w:val="ListBullet"/>
        <w:spacing w:after="40" w:line="247" w:lineRule="auto"/>
      </w:pPr>
      <w:r>
        <w:t>Không có bằng chứng cho thấy cần hạ thấp hoặc nâng mức ảnh hưởng của các vấn đề so với tài liệu gốc.</w:t>
      </w:r>
    </w:p>
    <w:p>
      <w:pPr>
        <w:pStyle w:val="Heading2"/>
        <w:keepNext/>
      </w:pPr>
      <w:r>
        <w:t>4. Vấn đề cần lưu ý</w:t>
      </w:r>
    </w:p>
    <w:p>
      <w:pPr>
        <w:pStyle w:val="ListBullet"/>
        <w:spacing w:after="40" w:line="247" w:lineRule="auto"/>
      </w:pPr>
      <w:r>
        <w:t>Các thay đổi ngày 13/07 về tiến độ đóng tiền, quyền xem số tiền, quyền đào tạo và danh bạ tin nhắn vẫn đang chờ xác nhận bổ sung.</w:t>
      </w:r>
    </w:p>
    <w:p>
      <w:pPr>
        <w:pStyle w:val="ListBullet"/>
        <w:spacing w:after="40" w:line="247" w:lineRule="auto"/>
      </w:pPr>
      <w:r>
        <w:t>Chưa thể tuyên bố toàn bộ hệ thống đã được kiểm tra hoàn tất vì nhiều luồng giao diện và thao tác đồng thời chưa được dùng thử đầy đủ.</w:t>
      </w:r>
    </w:p>
    <w:p>
      <w:pPr>
        <w:pStyle w:val="Heading2"/>
        <w:keepNext/>
      </w:pPr>
      <w:r>
        <w:t>5. Đánh giá chung</w:t>
      </w:r>
    </w:p>
    <w:p>
      <w:pPr>
        <w:spacing w:after="60"/>
        <w:ind w:left="142" w:right="142"/>
        <w:shd w:fill="EEF5F9"/>
      </w:pPr>
      <w:r>
        <w:rPr>
          <w:b/>
        </w:rPr>
        <w:t>Các vấn đề quan trọng đã được kiểm soát tốt hơn, nhưng hệ thống vẫn đang trong giai đoạn xác nhận. Không nên dùng cụm từ “hoàn tất kiểm thử toàn bộ” ở thời điểm này.</w:t>
      </w:r>
    </w:p>
    <w:p>
      <w:pPr>
        <w:pStyle w:val="Heading2"/>
        <w:keepNext/>
      </w:pPr>
      <w:r>
        <w:t>6. So sánh sơ bộ với hệ thống quản lý khác</w:t>
      </w:r>
    </w:p>
    <w:p>
      <w:r>
        <w:t>Khả năng lưu tình trạng xử lý và kiểm tra lại giúp quản lý theo dõi trách nhiệm rõ hơn so với cách ghi nhận rời rạc. POLYMIND cần duy trì bảng theo dõi này trong các vòng cải tiến sau.</w:t>
      </w:r>
    </w:p>
    <w:p>
      <w:pPr>
        <w:pStyle w:val="Heading2"/>
        <w:keepNext/>
      </w:pPr>
      <w:r>
        <w:t>7. Kế hoạch ngày tiếp theo</w:t>
      </w:r>
    </w:p>
    <w:p>
      <w:r>
        <w:t>Ngày cuối tổng kết giai đoạn, đánh giá theo các tiêu chí quản lý phổ biến và đề xuất thứ tự kiểm tra, hoàn thiện tiếp theo.</w:t>
      </w:r>
    </w:p>
    <w:sectPr w:rsidR="00FC693F" w:rsidRPr="0006063C" w:rsidSect="00034616">
      <w:headerReference w:type="default" r:id="rId9"/>
      <w:footerReference w:type="default" r:id="rId10"/>
      <w:pgSz w:w="11906" w:h="16838"/>
      <w:pgMar w:top="765" w:right="935" w:bottom="709" w:left="935" w:header="312"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7"/>
      </w:rPr>
      <w:t xml:space="preserve">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B6A78"/>
        <w:sz w:val="16"/>
      </w:rPr>
      <w:t>POLYMIND  |  BÁO CÁO TIẾN ĐỘ KIỂM THỬ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50" w:lineRule="auto"/>
    </w:pPr>
    <w:rPr>
      <w:rFonts w:ascii="Arial" w:hAnsi="Arial" w:eastAsia="Arial"/>
      <w:color w:val="25303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00" w:after="40"/>
      <w:outlineLvl w:val="1"/>
    </w:pPr>
    <w:rPr>
      <w:rFonts w:asciiTheme="majorHAnsi" w:eastAsiaTheme="majorEastAsia" w:hAnsiTheme="majorHAnsi" w:cstheme="majorBidi" w:ascii="Arial" w:hAnsi="Arial" w:eastAsia="Arial"/>
      <w:b/>
      <w:bCs/>
      <w:color w:val="134A74"/>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kiểm thử POLYMIND ngày 31/07/2026</dc:title>
  <dc:subject>Tổng hợp vấn đề và xác nhận nội dung đã sửa</dc:subject>
  <dc:creator>POLYMIND</dc:creator>
  <cp:keywords>POLYMIND, báo cáo kiểm thử, tiến độ</cp:keywords>
  <dc:description>generated by python-docx</dc:description>
  <cp:lastModifiedBy/>
  <cp:revision>1</cp:revision>
  <dcterms:created xsi:type="dcterms:W3CDTF">2013-12-23T23:15:00Z</dcterms:created>
  <dcterms:modified xsi:type="dcterms:W3CDTF">2013-12-23T23:15:00Z</dcterms:modified>
  <cp:category/>
</cp:coreProperties>
</file>