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D7E71A" w14:textId="24AD72FD" w:rsidR="00FF402F" w:rsidRPr="00DD15A9" w:rsidRDefault="00997D7E" w:rsidP="00DD15A9">
      <w:pPr>
        <w:pStyle w:val="Title"/>
        <w:spacing w:beforeLines="240" w:before="576" w:after="0"/>
        <w:rPr>
          <w:rFonts w:cs="Times New Roman"/>
          <w:sz w:val="60"/>
          <w:szCs w:val="60"/>
        </w:rPr>
      </w:pPr>
      <w:r w:rsidRPr="00C75D53">
        <w:rPr>
          <w:rFonts w:cs="Times New Roman"/>
          <w:sz w:val="60"/>
          <w:szCs w:val="60"/>
        </w:rPr>
        <w:t xml:space="preserve">Analytical Report of </w:t>
      </w:r>
      <w:r w:rsidR="00583C86" w:rsidRPr="00C75D53">
        <w:rPr>
          <w:rFonts w:cs="Times New Roman"/>
          <w:sz w:val="60"/>
          <w:szCs w:val="60"/>
        </w:rPr>
        <w:t>Just Eat Takeaway (JET)</w:t>
      </w:r>
    </w:p>
    <w:sdt>
      <w:sdtPr>
        <w:rPr>
          <w:rFonts w:ascii="Times New Roman" w:eastAsiaTheme="minorEastAsia" w:hAnsi="Times New Roman" w:cs="Times New Roman"/>
          <w:b w:val="0"/>
          <w:bCs w:val="0"/>
          <w:color w:val="auto"/>
          <w:sz w:val="22"/>
          <w:szCs w:val="22"/>
          <w:lang w:val="en-GB" w:eastAsia="zh-CN"/>
        </w:rPr>
        <w:id w:val="-1387877333"/>
        <w:docPartObj>
          <w:docPartGallery w:val="Table of Contents"/>
          <w:docPartUnique/>
        </w:docPartObj>
      </w:sdtPr>
      <w:sdtEndPr>
        <w:rPr>
          <w:noProof/>
        </w:rPr>
      </w:sdtEndPr>
      <w:sdtContent>
        <w:p w14:paraId="09F0A5E5" w14:textId="77777777" w:rsidR="00E14E79" w:rsidRPr="00C75D53" w:rsidRDefault="00E14E79" w:rsidP="00C75D53">
          <w:pPr>
            <w:pStyle w:val="TOCHeading"/>
            <w:spacing w:beforeLines="240" w:before="576" w:line="240" w:lineRule="auto"/>
            <w:contextualSpacing/>
            <w:rPr>
              <w:rFonts w:ascii="Times New Roman" w:hAnsi="Times New Roman" w:cs="Times New Roman"/>
              <w:sz w:val="22"/>
              <w:szCs w:val="22"/>
            </w:rPr>
          </w:pPr>
          <w:r w:rsidRPr="00C75D53">
            <w:rPr>
              <w:rFonts w:ascii="Times New Roman" w:hAnsi="Times New Roman" w:cs="Times New Roman"/>
              <w:sz w:val="22"/>
              <w:szCs w:val="22"/>
            </w:rPr>
            <w:t>Table of Contents</w:t>
          </w:r>
        </w:p>
        <w:p w14:paraId="62F10FDE" w14:textId="4312A323" w:rsidR="00CA2608" w:rsidRDefault="00E14E79">
          <w:pPr>
            <w:pStyle w:val="TOC1"/>
            <w:tabs>
              <w:tab w:val="right" w:leader="dot" w:pos="9010"/>
            </w:tabs>
            <w:rPr>
              <w:rFonts w:cstheme="minorBidi"/>
              <w:b w:val="0"/>
              <w:bCs w:val="0"/>
              <w:i w:val="0"/>
              <w:iCs w:val="0"/>
              <w:noProof/>
              <w:kern w:val="2"/>
              <w:sz w:val="22"/>
              <w:szCs w:val="22"/>
              <w:lang w:val="en-US" w:eastAsia="en-US"/>
              <w14:ligatures w14:val="standardContextual"/>
            </w:rPr>
          </w:pPr>
          <w:r w:rsidRPr="00C75D53">
            <w:rPr>
              <w:rFonts w:ascii="Times New Roman" w:hAnsi="Times New Roman" w:cs="Times New Roman"/>
              <w:b w:val="0"/>
              <w:bCs w:val="0"/>
              <w:sz w:val="22"/>
              <w:szCs w:val="22"/>
            </w:rPr>
            <w:fldChar w:fldCharType="begin"/>
          </w:r>
          <w:r w:rsidRPr="00C75D53">
            <w:rPr>
              <w:rFonts w:ascii="Times New Roman" w:hAnsi="Times New Roman" w:cs="Times New Roman"/>
              <w:sz w:val="22"/>
              <w:szCs w:val="22"/>
            </w:rPr>
            <w:instrText xml:space="preserve"> TOC \o "1-3" \h \z \u </w:instrText>
          </w:r>
          <w:r w:rsidRPr="00C75D53">
            <w:rPr>
              <w:rFonts w:ascii="Times New Roman" w:hAnsi="Times New Roman" w:cs="Times New Roman"/>
              <w:b w:val="0"/>
              <w:bCs w:val="0"/>
              <w:sz w:val="22"/>
              <w:szCs w:val="22"/>
            </w:rPr>
            <w:fldChar w:fldCharType="separate"/>
          </w:r>
          <w:hyperlink w:anchor="_Toc134147574" w:history="1">
            <w:r w:rsidR="00CA2608" w:rsidRPr="00380305">
              <w:rPr>
                <w:rStyle w:val="Hyperlink"/>
                <w:noProof/>
              </w:rPr>
              <w:t>Executive Summary</w:t>
            </w:r>
            <w:r w:rsidR="00CA2608">
              <w:rPr>
                <w:noProof/>
                <w:webHidden/>
              </w:rPr>
              <w:tab/>
            </w:r>
            <w:r w:rsidR="00CA2608">
              <w:rPr>
                <w:noProof/>
                <w:webHidden/>
              </w:rPr>
              <w:fldChar w:fldCharType="begin"/>
            </w:r>
            <w:r w:rsidR="00CA2608">
              <w:rPr>
                <w:noProof/>
                <w:webHidden/>
              </w:rPr>
              <w:instrText xml:space="preserve"> PAGEREF _Toc134147574 \h </w:instrText>
            </w:r>
            <w:r w:rsidR="00CA2608">
              <w:rPr>
                <w:noProof/>
                <w:webHidden/>
              </w:rPr>
            </w:r>
            <w:r w:rsidR="00CA2608">
              <w:rPr>
                <w:noProof/>
                <w:webHidden/>
              </w:rPr>
              <w:fldChar w:fldCharType="separate"/>
            </w:r>
            <w:r w:rsidR="00CA2608">
              <w:rPr>
                <w:noProof/>
                <w:webHidden/>
              </w:rPr>
              <w:t>2</w:t>
            </w:r>
            <w:r w:rsidR="00CA2608">
              <w:rPr>
                <w:noProof/>
                <w:webHidden/>
              </w:rPr>
              <w:fldChar w:fldCharType="end"/>
            </w:r>
          </w:hyperlink>
        </w:p>
        <w:p w14:paraId="54FAAC03" w14:textId="2776B1D5" w:rsidR="00CA2608" w:rsidRDefault="00CA2608">
          <w:pPr>
            <w:pStyle w:val="TOC1"/>
            <w:tabs>
              <w:tab w:val="left" w:pos="480"/>
              <w:tab w:val="right" w:leader="dot" w:pos="9010"/>
            </w:tabs>
            <w:rPr>
              <w:rFonts w:cstheme="minorBidi"/>
              <w:b w:val="0"/>
              <w:bCs w:val="0"/>
              <w:i w:val="0"/>
              <w:iCs w:val="0"/>
              <w:noProof/>
              <w:kern w:val="2"/>
              <w:sz w:val="22"/>
              <w:szCs w:val="22"/>
              <w:lang w:val="en-US" w:eastAsia="en-US"/>
              <w14:ligatures w14:val="standardContextual"/>
            </w:rPr>
          </w:pPr>
          <w:hyperlink w:anchor="_Toc134147575" w:history="1">
            <w:r w:rsidRPr="00380305">
              <w:rPr>
                <w:rStyle w:val="Hyperlink"/>
                <w:noProof/>
              </w:rPr>
              <w:t>I.</w:t>
            </w:r>
            <w:r>
              <w:rPr>
                <w:rFonts w:cstheme="minorBidi"/>
                <w:b w:val="0"/>
                <w:bCs w:val="0"/>
                <w:i w:val="0"/>
                <w:iCs w:val="0"/>
                <w:noProof/>
                <w:kern w:val="2"/>
                <w:sz w:val="22"/>
                <w:szCs w:val="22"/>
                <w:lang w:val="en-US" w:eastAsia="en-US"/>
                <w14:ligatures w14:val="standardContextual"/>
              </w:rPr>
              <w:tab/>
            </w:r>
            <w:r w:rsidRPr="00380305">
              <w:rPr>
                <w:rStyle w:val="Hyperlink"/>
                <w:noProof/>
              </w:rPr>
              <w:t>Introduction</w:t>
            </w:r>
            <w:r>
              <w:rPr>
                <w:noProof/>
                <w:webHidden/>
              </w:rPr>
              <w:tab/>
            </w:r>
            <w:r>
              <w:rPr>
                <w:noProof/>
                <w:webHidden/>
              </w:rPr>
              <w:fldChar w:fldCharType="begin"/>
            </w:r>
            <w:r>
              <w:rPr>
                <w:noProof/>
                <w:webHidden/>
              </w:rPr>
              <w:instrText xml:space="preserve"> PAGEREF _Toc134147575 \h </w:instrText>
            </w:r>
            <w:r>
              <w:rPr>
                <w:noProof/>
                <w:webHidden/>
              </w:rPr>
            </w:r>
            <w:r>
              <w:rPr>
                <w:noProof/>
                <w:webHidden/>
              </w:rPr>
              <w:fldChar w:fldCharType="separate"/>
            </w:r>
            <w:r>
              <w:rPr>
                <w:noProof/>
                <w:webHidden/>
              </w:rPr>
              <w:t>2</w:t>
            </w:r>
            <w:r>
              <w:rPr>
                <w:noProof/>
                <w:webHidden/>
              </w:rPr>
              <w:fldChar w:fldCharType="end"/>
            </w:r>
          </w:hyperlink>
        </w:p>
        <w:p w14:paraId="2FA5CC4D" w14:textId="18611822" w:rsidR="00CA2608" w:rsidRDefault="00CA2608">
          <w:pPr>
            <w:pStyle w:val="TOC1"/>
            <w:tabs>
              <w:tab w:val="left" w:pos="480"/>
              <w:tab w:val="right" w:leader="dot" w:pos="9010"/>
            </w:tabs>
            <w:rPr>
              <w:rFonts w:cstheme="minorBidi"/>
              <w:b w:val="0"/>
              <w:bCs w:val="0"/>
              <w:i w:val="0"/>
              <w:iCs w:val="0"/>
              <w:noProof/>
              <w:kern w:val="2"/>
              <w:sz w:val="22"/>
              <w:szCs w:val="22"/>
              <w:lang w:val="en-US" w:eastAsia="en-US"/>
              <w14:ligatures w14:val="standardContextual"/>
            </w:rPr>
          </w:pPr>
          <w:hyperlink w:anchor="_Toc134147576" w:history="1">
            <w:r w:rsidRPr="00380305">
              <w:rPr>
                <w:rStyle w:val="Hyperlink"/>
                <w:noProof/>
              </w:rPr>
              <w:t>II.</w:t>
            </w:r>
            <w:r>
              <w:rPr>
                <w:rFonts w:cstheme="minorBidi"/>
                <w:b w:val="0"/>
                <w:bCs w:val="0"/>
                <w:i w:val="0"/>
                <w:iCs w:val="0"/>
                <w:noProof/>
                <w:kern w:val="2"/>
                <w:sz w:val="22"/>
                <w:szCs w:val="22"/>
                <w:lang w:val="en-US" w:eastAsia="en-US"/>
                <w14:ligatures w14:val="standardContextual"/>
              </w:rPr>
              <w:tab/>
            </w:r>
            <w:r w:rsidRPr="00380305">
              <w:rPr>
                <w:rStyle w:val="Hyperlink"/>
                <w:noProof/>
              </w:rPr>
              <w:t>Technical Analysis of Stock Market</w:t>
            </w:r>
            <w:r>
              <w:rPr>
                <w:noProof/>
                <w:webHidden/>
              </w:rPr>
              <w:tab/>
            </w:r>
            <w:r>
              <w:rPr>
                <w:noProof/>
                <w:webHidden/>
              </w:rPr>
              <w:fldChar w:fldCharType="begin"/>
            </w:r>
            <w:r>
              <w:rPr>
                <w:noProof/>
                <w:webHidden/>
              </w:rPr>
              <w:instrText xml:space="preserve"> PAGEREF _Toc134147576 \h </w:instrText>
            </w:r>
            <w:r>
              <w:rPr>
                <w:noProof/>
                <w:webHidden/>
              </w:rPr>
            </w:r>
            <w:r>
              <w:rPr>
                <w:noProof/>
                <w:webHidden/>
              </w:rPr>
              <w:fldChar w:fldCharType="separate"/>
            </w:r>
            <w:r>
              <w:rPr>
                <w:noProof/>
                <w:webHidden/>
              </w:rPr>
              <w:t>3</w:t>
            </w:r>
            <w:r>
              <w:rPr>
                <w:noProof/>
                <w:webHidden/>
              </w:rPr>
              <w:fldChar w:fldCharType="end"/>
            </w:r>
          </w:hyperlink>
        </w:p>
        <w:p w14:paraId="069B7E51" w14:textId="2D0547C7" w:rsidR="00CA2608" w:rsidRDefault="00CA2608">
          <w:pPr>
            <w:pStyle w:val="TOC2"/>
            <w:tabs>
              <w:tab w:val="left" w:pos="720"/>
              <w:tab w:val="right" w:leader="dot" w:pos="9010"/>
            </w:tabs>
            <w:rPr>
              <w:rFonts w:cstheme="minorBidi"/>
              <w:b w:val="0"/>
              <w:bCs w:val="0"/>
              <w:noProof/>
              <w:kern w:val="2"/>
              <w:lang w:val="en-US" w:eastAsia="en-US"/>
              <w14:ligatures w14:val="standardContextual"/>
            </w:rPr>
          </w:pPr>
          <w:hyperlink w:anchor="_Toc134147577" w:history="1">
            <w:r w:rsidRPr="00380305">
              <w:rPr>
                <w:rStyle w:val="Hyperlink"/>
                <w:noProof/>
              </w:rPr>
              <w:t>1.</w:t>
            </w:r>
            <w:r>
              <w:rPr>
                <w:rFonts w:cstheme="minorBidi"/>
                <w:b w:val="0"/>
                <w:bCs w:val="0"/>
                <w:noProof/>
                <w:kern w:val="2"/>
                <w:lang w:val="en-US" w:eastAsia="en-US"/>
                <w14:ligatures w14:val="standardContextual"/>
              </w:rPr>
              <w:tab/>
            </w:r>
            <w:r w:rsidRPr="00380305">
              <w:rPr>
                <w:rStyle w:val="Hyperlink"/>
                <w:noProof/>
              </w:rPr>
              <w:t>Descriptive Analysis</w:t>
            </w:r>
            <w:r>
              <w:rPr>
                <w:noProof/>
                <w:webHidden/>
              </w:rPr>
              <w:tab/>
            </w:r>
            <w:r>
              <w:rPr>
                <w:noProof/>
                <w:webHidden/>
              </w:rPr>
              <w:fldChar w:fldCharType="begin"/>
            </w:r>
            <w:r>
              <w:rPr>
                <w:noProof/>
                <w:webHidden/>
              </w:rPr>
              <w:instrText xml:space="preserve"> PAGEREF _Toc134147577 \h </w:instrText>
            </w:r>
            <w:r>
              <w:rPr>
                <w:noProof/>
                <w:webHidden/>
              </w:rPr>
            </w:r>
            <w:r>
              <w:rPr>
                <w:noProof/>
                <w:webHidden/>
              </w:rPr>
              <w:fldChar w:fldCharType="separate"/>
            </w:r>
            <w:r>
              <w:rPr>
                <w:noProof/>
                <w:webHidden/>
              </w:rPr>
              <w:t>3</w:t>
            </w:r>
            <w:r>
              <w:rPr>
                <w:noProof/>
                <w:webHidden/>
              </w:rPr>
              <w:fldChar w:fldCharType="end"/>
            </w:r>
          </w:hyperlink>
        </w:p>
        <w:p w14:paraId="1649A2D3" w14:textId="77D346B4" w:rsidR="00CA2608" w:rsidRDefault="00CA2608">
          <w:pPr>
            <w:pStyle w:val="TOC3"/>
            <w:tabs>
              <w:tab w:val="left" w:pos="960"/>
              <w:tab w:val="right" w:leader="dot" w:pos="9010"/>
            </w:tabs>
            <w:rPr>
              <w:rFonts w:cstheme="minorBidi"/>
              <w:noProof/>
              <w:kern w:val="2"/>
              <w:sz w:val="22"/>
              <w:szCs w:val="22"/>
              <w:lang w:val="en-US" w:eastAsia="en-US"/>
              <w14:ligatures w14:val="standardContextual"/>
            </w:rPr>
          </w:pPr>
          <w:hyperlink w:anchor="_Toc134147578" w:history="1">
            <w:r w:rsidRPr="00380305">
              <w:rPr>
                <w:rStyle w:val="Hyperlink"/>
                <w:noProof/>
                <w:lang w:val="en-US"/>
              </w:rPr>
              <w:t>a.</w:t>
            </w:r>
            <w:r>
              <w:rPr>
                <w:rFonts w:cstheme="minorBidi"/>
                <w:noProof/>
                <w:kern w:val="2"/>
                <w:sz w:val="22"/>
                <w:szCs w:val="22"/>
                <w:lang w:val="en-US" w:eastAsia="en-US"/>
                <w14:ligatures w14:val="standardContextual"/>
              </w:rPr>
              <w:tab/>
            </w:r>
            <w:r w:rsidRPr="00380305">
              <w:rPr>
                <w:rStyle w:val="Hyperlink"/>
                <w:noProof/>
                <w:lang w:val="en-US"/>
              </w:rPr>
              <w:t>Stock prices:</w:t>
            </w:r>
            <w:r>
              <w:rPr>
                <w:noProof/>
                <w:webHidden/>
              </w:rPr>
              <w:tab/>
            </w:r>
            <w:r>
              <w:rPr>
                <w:noProof/>
                <w:webHidden/>
              </w:rPr>
              <w:fldChar w:fldCharType="begin"/>
            </w:r>
            <w:r>
              <w:rPr>
                <w:noProof/>
                <w:webHidden/>
              </w:rPr>
              <w:instrText xml:space="preserve"> PAGEREF _Toc134147578 \h </w:instrText>
            </w:r>
            <w:r>
              <w:rPr>
                <w:noProof/>
                <w:webHidden/>
              </w:rPr>
            </w:r>
            <w:r>
              <w:rPr>
                <w:noProof/>
                <w:webHidden/>
              </w:rPr>
              <w:fldChar w:fldCharType="separate"/>
            </w:r>
            <w:r>
              <w:rPr>
                <w:noProof/>
                <w:webHidden/>
              </w:rPr>
              <w:t>3</w:t>
            </w:r>
            <w:r>
              <w:rPr>
                <w:noProof/>
                <w:webHidden/>
              </w:rPr>
              <w:fldChar w:fldCharType="end"/>
            </w:r>
          </w:hyperlink>
        </w:p>
        <w:p w14:paraId="21F83160" w14:textId="294214D0" w:rsidR="00CA2608" w:rsidRDefault="00CA2608">
          <w:pPr>
            <w:pStyle w:val="TOC3"/>
            <w:tabs>
              <w:tab w:val="left" w:pos="960"/>
              <w:tab w:val="right" w:leader="dot" w:pos="9010"/>
            </w:tabs>
            <w:rPr>
              <w:rFonts w:cstheme="minorBidi"/>
              <w:noProof/>
              <w:kern w:val="2"/>
              <w:sz w:val="22"/>
              <w:szCs w:val="22"/>
              <w:lang w:val="en-US" w:eastAsia="en-US"/>
              <w14:ligatures w14:val="standardContextual"/>
            </w:rPr>
          </w:pPr>
          <w:hyperlink w:anchor="_Toc134147579" w:history="1">
            <w:r w:rsidRPr="00380305">
              <w:rPr>
                <w:rStyle w:val="Hyperlink"/>
                <w:noProof/>
                <w:lang w:val="en-US"/>
              </w:rPr>
              <w:t>b.</w:t>
            </w:r>
            <w:r>
              <w:rPr>
                <w:rFonts w:cstheme="minorBidi"/>
                <w:noProof/>
                <w:kern w:val="2"/>
                <w:sz w:val="22"/>
                <w:szCs w:val="22"/>
                <w:lang w:val="en-US" w:eastAsia="en-US"/>
                <w14:ligatures w14:val="standardContextual"/>
              </w:rPr>
              <w:tab/>
            </w:r>
            <w:r w:rsidRPr="00380305">
              <w:rPr>
                <w:rStyle w:val="Hyperlink"/>
                <w:noProof/>
                <w:lang w:val="en-US"/>
              </w:rPr>
              <w:t>Stock returns:</w:t>
            </w:r>
            <w:r>
              <w:rPr>
                <w:noProof/>
                <w:webHidden/>
              </w:rPr>
              <w:tab/>
            </w:r>
            <w:r>
              <w:rPr>
                <w:noProof/>
                <w:webHidden/>
              </w:rPr>
              <w:fldChar w:fldCharType="begin"/>
            </w:r>
            <w:r>
              <w:rPr>
                <w:noProof/>
                <w:webHidden/>
              </w:rPr>
              <w:instrText xml:space="preserve"> PAGEREF _Toc134147579 \h </w:instrText>
            </w:r>
            <w:r>
              <w:rPr>
                <w:noProof/>
                <w:webHidden/>
              </w:rPr>
            </w:r>
            <w:r>
              <w:rPr>
                <w:noProof/>
                <w:webHidden/>
              </w:rPr>
              <w:fldChar w:fldCharType="separate"/>
            </w:r>
            <w:r>
              <w:rPr>
                <w:noProof/>
                <w:webHidden/>
              </w:rPr>
              <w:t>5</w:t>
            </w:r>
            <w:r>
              <w:rPr>
                <w:noProof/>
                <w:webHidden/>
              </w:rPr>
              <w:fldChar w:fldCharType="end"/>
            </w:r>
          </w:hyperlink>
        </w:p>
        <w:p w14:paraId="498AF69B" w14:textId="5F50E4D1" w:rsidR="00CA2608" w:rsidRDefault="00CA2608">
          <w:pPr>
            <w:pStyle w:val="TOC3"/>
            <w:tabs>
              <w:tab w:val="left" w:pos="960"/>
              <w:tab w:val="right" w:leader="dot" w:pos="9010"/>
            </w:tabs>
            <w:rPr>
              <w:rFonts w:cstheme="minorBidi"/>
              <w:noProof/>
              <w:kern w:val="2"/>
              <w:sz w:val="22"/>
              <w:szCs w:val="22"/>
              <w:lang w:val="en-US" w:eastAsia="en-US"/>
              <w14:ligatures w14:val="standardContextual"/>
            </w:rPr>
          </w:pPr>
          <w:hyperlink w:anchor="_Toc134147580" w:history="1">
            <w:r w:rsidRPr="00380305">
              <w:rPr>
                <w:rStyle w:val="Hyperlink"/>
                <w:noProof/>
                <w:lang w:val="en-US"/>
              </w:rPr>
              <w:t>c.</w:t>
            </w:r>
            <w:r>
              <w:rPr>
                <w:rFonts w:cstheme="minorBidi"/>
                <w:noProof/>
                <w:kern w:val="2"/>
                <w:sz w:val="22"/>
                <w:szCs w:val="22"/>
                <w:lang w:val="en-US" w:eastAsia="en-US"/>
                <w14:ligatures w14:val="standardContextual"/>
              </w:rPr>
              <w:tab/>
            </w:r>
            <w:r w:rsidRPr="00380305">
              <w:rPr>
                <w:rStyle w:val="Hyperlink"/>
                <w:noProof/>
                <w:lang w:val="en-US"/>
              </w:rPr>
              <w:t>JET returns analysis using empirical rules:</w:t>
            </w:r>
            <w:r>
              <w:rPr>
                <w:noProof/>
                <w:webHidden/>
              </w:rPr>
              <w:tab/>
            </w:r>
            <w:r>
              <w:rPr>
                <w:noProof/>
                <w:webHidden/>
              </w:rPr>
              <w:fldChar w:fldCharType="begin"/>
            </w:r>
            <w:r>
              <w:rPr>
                <w:noProof/>
                <w:webHidden/>
              </w:rPr>
              <w:instrText xml:space="preserve"> PAGEREF _Toc134147580 \h </w:instrText>
            </w:r>
            <w:r>
              <w:rPr>
                <w:noProof/>
                <w:webHidden/>
              </w:rPr>
            </w:r>
            <w:r>
              <w:rPr>
                <w:noProof/>
                <w:webHidden/>
              </w:rPr>
              <w:fldChar w:fldCharType="separate"/>
            </w:r>
            <w:r>
              <w:rPr>
                <w:noProof/>
                <w:webHidden/>
              </w:rPr>
              <w:t>5</w:t>
            </w:r>
            <w:r>
              <w:rPr>
                <w:noProof/>
                <w:webHidden/>
              </w:rPr>
              <w:fldChar w:fldCharType="end"/>
            </w:r>
          </w:hyperlink>
        </w:p>
        <w:p w14:paraId="73238421" w14:textId="4EA2DC20" w:rsidR="00CA2608" w:rsidRDefault="00CA2608">
          <w:pPr>
            <w:pStyle w:val="TOC3"/>
            <w:tabs>
              <w:tab w:val="left" w:pos="960"/>
              <w:tab w:val="right" w:leader="dot" w:pos="9010"/>
            </w:tabs>
            <w:rPr>
              <w:rFonts w:cstheme="minorBidi"/>
              <w:noProof/>
              <w:kern w:val="2"/>
              <w:sz w:val="22"/>
              <w:szCs w:val="22"/>
              <w:lang w:val="en-US" w:eastAsia="en-US"/>
              <w14:ligatures w14:val="standardContextual"/>
            </w:rPr>
          </w:pPr>
          <w:hyperlink w:anchor="_Toc134147581" w:history="1">
            <w:r w:rsidRPr="00380305">
              <w:rPr>
                <w:rStyle w:val="Hyperlink"/>
                <w:noProof/>
                <w:lang w:val="en-US"/>
              </w:rPr>
              <w:t>d.</w:t>
            </w:r>
            <w:r>
              <w:rPr>
                <w:rFonts w:cstheme="minorBidi"/>
                <w:noProof/>
                <w:kern w:val="2"/>
                <w:sz w:val="22"/>
                <w:szCs w:val="22"/>
                <w:lang w:val="en-US" w:eastAsia="en-US"/>
                <w14:ligatures w14:val="standardContextual"/>
              </w:rPr>
              <w:tab/>
            </w:r>
            <w:r w:rsidRPr="00380305">
              <w:rPr>
                <w:rStyle w:val="Hyperlink"/>
                <w:noProof/>
                <w:lang w:val="en-US"/>
              </w:rPr>
              <w:t>Jet return analysis using boxplot and histogram:</w:t>
            </w:r>
            <w:r>
              <w:rPr>
                <w:noProof/>
                <w:webHidden/>
              </w:rPr>
              <w:tab/>
            </w:r>
            <w:r>
              <w:rPr>
                <w:noProof/>
                <w:webHidden/>
              </w:rPr>
              <w:fldChar w:fldCharType="begin"/>
            </w:r>
            <w:r>
              <w:rPr>
                <w:noProof/>
                <w:webHidden/>
              </w:rPr>
              <w:instrText xml:space="preserve"> PAGEREF _Toc134147581 \h </w:instrText>
            </w:r>
            <w:r>
              <w:rPr>
                <w:noProof/>
                <w:webHidden/>
              </w:rPr>
            </w:r>
            <w:r>
              <w:rPr>
                <w:noProof/>
                <w:webHidden/>
              </w:rPr>
              <w:fldChar w:fldCharType="separate"/>
            </w:r>
            <w:r>
              <w:rPr>
                <w:noProof/>
                <w:webHidden/>
              </w:rPr>
              <w:t>7</w:t>
            </w:r>
            <w:r>
              <w:rPr>
                <w:noProof/>
                <w:webHidden/>
              </w:rPr>
              <w:fldChar w:fldCharType="end"/>
            </w:r>
          </w:hyperlink>
        </w:p>
        <w:p w14:paraId="3490CE70" w14:textId="5A1D54FB" w:rsidR="00CA2608" w:rsidRDefault="00CA2608">
          <w:pPr>
            <w:pStyle w:val="TOC3"/>
            <w:tabs>
              <w:tab w:val="left" w:pos="960"/>
              <w:tab w:val="right" w:leader="dot" w:pos="9010"/>
            </w:tabs>
            <w:rPr>
              <w:rFonts w:cstheme="minorBidi"/>
              <w:noProof/>
              <w:kern w:val="2"/>
              <w:sz w:val="22"/>
              <w:szCs w:val="22"/>
              <w:lang w:val="en-US" w:eastAsia="en-US"/>
              <w14:ligatures w14:val="standardContextual"/>
            </w:rPr>
          </w:pPr>
          <w:hyperlink w:anchor="_Toc134147582" w:history="1">
            <w:r w:rsidRPr="00380305">
              <w:rPr>
                <w:rStyle w:val="Hyperlink"/>
                <w:noProof/>
                <w:lang w:val="en-US"/>
              </w:rPr>
              <w:t>e.</w:t>
            </w:r>
            <w:r>
              <w:rPr>
                <w:rFonts w:cstheme="minorBidi"/>
                <w:noProof/>
                <w:kern w:val="2"/>
                <w:sz w:val="22"/>
                <w:szCs w:val="22"/>
                <w:lang w:val="en-US" w:eastAsia="en-US"/>
                <w14:ligatures w14:val="standardContextual"/>
              </w:rPr>
              <w:tab/>
            </w:r>
            <w:r w:rsidRPr="00380305">
              <w:rPr>
                <w:rStyle w:val="Hyperlink"/>
                <w:noProof/>
                <w:lang w:val="en-US"/>
              </w:rPr>
              <w:t>Comparing returns using boxplot and histogram:</w:t>
            </w:r>
            <w:r>
              <w:rPr>
                <w:noProof/>
                <w:webHidden/>
              </w:rPr>
              <w:tab/>
            </w:r>
            <w:r>
              <w:rPr>
                <w:noProof/>
                <w:webHidden/>
              </w:rPr>
              <w:fldChar w:fldCharType="begin"/>
            </w:r>
            <w:r>
              <w:rPr>
                <w:noProof/>
                <w:webHidden/>
              </w:rPr>
              <w:instrText xml:space="preserve"> PAGEREF _Toc134147582 \h </w:instrText>
            </w:r>
            <w:r>
              <w:rPr>
                <w:noProof/>
                <w:webHidden/>
              </w:rPr>
            </w:r>
            <w:r>
              <w:rPr>
                <w:noProof/>
                <w:webHidden/>
              </w:rPr>
              <w:fldChar w:fldCharType="separate"/>
            </w:r>
            <w:r>
              <w:rPr>
                <w:noProof/>
                <w:webHidden/>
              </w:rPr>
              <w:t>8</w:t>
            </w:r>
            <w:r>
              <w:rPr>
                <w:noProof/>
                <w:webHidden/>
              </w:rPr>
              <w:fldChar w:fldCharType="end"/>
            </w:r>
          </w:hyperlink>
        </w:p>
        <w:p w14:paraId="324C809F" w14:textId="4F8286E7" w:rsidR="00CA2608" w:rsidRDefault="00CA2608">
          <w:pPr>
            <w:pStyle w:val="TOC2"/>
            <w:tabs>
              <w:tab w:val="left" w:pos="720"/>
              <w:tab w:val="right" w:leader="dot" w:pos="9010"/>
            </w:tabs>
            <w:rPr>
              <w:rFonts w:cstheme="minorBidi"/>
              <w:b w:val="0"/>
              <w:bCs w:val="0"/>
              <w:noProof/>
              <w:kern w:val="2"/>
              <w:lang w:val="en-US" w:eastAsia="en-US"/>
              <w14:ligatures w14:val="standardContextual"/>
            </w:rPr>
          </w:pPr>
          <w:hyperlink w:anchor="_Toc134147583" w:history="1">
            <w:r w:rsidRPr="00380305">
              <w:rPr>
                <w:rStyle w:val="Hyperlink"/>
                <w:noProof/>
              </w:rPr>
              <w:t>2.</w:t>
            </w:r>
            <w:r>
              <w:rPr>
                <w:rFonts w:cstheme="minorBidi"/>
                <w:b w:val="0"/>
                <w:bCs w:val="0"/>
                <w:noProof/>
                <w:kern w:val="2"/>
                <w:lang w:val="en-US" w:eastAsia="en-US"/>
                <w14:ligatures w14:val="standardContextual"/>
              </w:rPr>
              <w:tab/>
            </w:r>
            <w:r w:rsidRPr="00380305">
              <w:rPr>
                <w:rStyle w:val="Hyperlink"/>
                <w:noProof/>
              </w:rPr>
              <w:t>Correlation and Regression Analysis</w:t>
            </w:r>
            <w:r>
              <w:rPr>
                <w:noProof/>
                <w:webHidden/>
              </w:rPr>
              <w:tab/>
            </w:r>
            <w:r>
              <w:rPr>
                <w:noProof/>
                <w:webHidden/>
              </w:rPr>
              <w:fldChar w:fldCharType="begin"/>
            </w:r>
            <w:r>
              <w:rPr>
                <w:noProof/>
                <w:webHidden/>
              </w:rPr>
              <w:instrText xml:space="preserve"> PAGEREF _Toc134147583 \h </w:instrText>
            </w:r>
            <w:r>
              <w:rPr>
                <w:noProof/>
                <w:webHidden/>
              </w:rPr>
            </w:r>
            <w:r>
              <w:rPr>
                <w:noProof/>
                <w:webHidden/>
              </w:rPr>
              <w:fldChar w:fldCharType="separate"/>
            </w:r>
            <w:r>
              <w:rPr>
                <w:noProof/>
                <w:webHidden/>
              </w:rPr>
              <w:t>10</w:t>
            </w:r>
            <w:r>
              <w:rPr>
                <w:noProof/>
                <w:webHidden/>
              </w:rPr>
              <w:fldChar w:fldCharType="end"/>
            </w:r>
          </w:hyperlink>
        </w:p>
        <w:p w14:paraId="3BEF16C0" w14:textId="3394CCB8" w:rsidR="00CA2608" w:rsidRDefault="00CA2608">
          <w:pPr>
            <w:pStyle w:val="TOC3"/>
            <w:tabs>
              <w:tab w:val="left" w:pos="960"/>
              <w:tab w:val="right" w:leader="dot" w:pos="9010"/>
            </w:tabs>
            <w:rPr>
              <w:rFonts w:cstheme="minorBidi"/>
              <w:noProof/>
              <w:kern w:val="2"/>
              <w:sz w:val="22"/>
              <w:szCs w:val="22"/>
              <w:lang w:val="en-US" w:eastAsia="en-US"/>
              <w14:ligatures w14:val="standardContextual"/>
            </w:rPr>
          </w:pPr>
          <w:hyperlink w:anchor="_Toc134147584" w:history="1">
            <w:r w:rsidRPr="00380305">
              <w:rPr>
                <w:rStyle w:val="Hyperlink"/>
                <w:noProof/>
              </w:rPr>
              <w:t>a.</w:t>
            </w:r>
            <w:r>
              <w:rPr>
                <w:rFonts w:cstheme="minorBidi"/>
                <w:noProof/>
                <w:kern w:val="2"/>
                <w:sz w:val="22"/>
                <w:szCs w:val="22"/>
                <w:lang w:val="en-US" w:eastAsia="en-US"/>
                <w14:ligatures w14:val="standardContextual"/>
              </w:rPr>
              <w:tab/>
            </w:r>
            <w:r w:rsidRPr="00380305">
              <w:rPr>
                <w:rStyle w:val="Hyperlink"/>
                <w:noProof/>
              </w:rPr>
              <w:t>Correlation:</w:t>
            </w:r>
            <w:r>
              <w:rPr>
                <w:noProof/>
                <w:webHidden/>
              </w:rPr>
              <w:tab/>
            </w:r>
            <w:r>
              <w:rPr>
                <w:noProof/>
                <w:webHidden/>
              </w:rPr>
              <w:fldChar w:fldCharType="begin"/>
            </w:r>
            <w:r>
              <w:rPr>
                <w:noProof/>
                <w:webHidden/>
              </w:rPr>
              <w:instrText xml:space="preserve"> PAGEREF _Toc134147584 \h </w:instrText>
            </w:r>
            <w:r>
              <w:rPr>
                <w:noProof/>
                <w:webHidden/>
              </w:rPr>
            </w:r>
            <w:r>
              <w:rPr>
                <w:noProof/>
                <w:webHidden/>
              </w:rPr>
              <w:fldChar w:fldCharType="separate"/>
            </w:r>
            <w:r>
              <w:rPr>
                <w:noProof/>
                <w:webHidden/>
              </w:rPr>
              <w:t>10</w:t>
            </w:r>
            <w:r>
              <w:rPr>
                <w:noProof/>
                <w:webHidden/>
              </w:rPr>
              <w:fldChar w:fldCharType="end"/>
            </w:r>
          </w:hyperlink>
        </w:p>
        <w:p w14:paraId="5E48860F" w14:textId="5FCE46CE" w:rsidR="00CA2608" w:rsidRDefault="00CA2608">
          <w:pPr>
            <w:pStyle w:val="TOC3"/>
            <w:tabs>
              <w:tab w:val="left" w:pos="960"/>
              <w:tab w:val="right" w:leader="dot" w:pos="9010"/>
            </w:tabs>
            <w:rPr>
              <w:rFonts w:cstheme="minorBidi"/>
              <w:noProof/>
              <w:kern w:val="2"/>
              <w:sz w:val="22"/>
              <w:szCs w:val="22"/>
              <w:lang w:val="en-US" w:eastAsia="en-US"/>
              <w14:ligatures w14:val="standardContextual"/>
            </w:rPr>
          </w:pPr>
          <w:hyperlink w:anchor="_Toc134147585" w:history="1">
            <w:r w:rsidRPr="00380305">
              <w:rPr>
                <w:rStyle w:val="Hyperlink"/>
                <w:rFonts w:cs="Times New Roman"/>
                <w:noProof/>
              </w:rPr>
              <w:t>b.</w:t>
            </w:r>
            <w:r>
              <w:rPr>
                <w:rFonts w:cstheme="minorBidi"/>
                <w:noProof/>
                <w:kern w:val="2"/>
                <w:sz w:val="22"/>
                <w:szCs w:val="22"/>
                <w:lang w:val="en-US" w:eastAsia="en-US"/>
                <w14:ligatures w14:val="standardContextual"/>
              </w:rPr>
              <w:tab/>
            </w:r>
            <w:r w:rsidRPr="00380305">
              <w:rPr>
                <w:rStyle w:val="Hyperlink"/>
                <w:noProof/>
              </w:rPr>
              <w:t>Regression analysis:</w:t>
            </w:r>
            <w:r>
              <w:rPr>
                <w:noProof/>
                <w:webHidden/>
              </w:rPr>
              <w:tab/>
            </w:r>
            <w:r>
              <w:rPr>
                <w:noProof/>
                <w:webHidden/>
              </w:rPr>
              <w:fldChar w:fldCharType="begin"/>
            </w:r>
            <w:r>
              <w:rPr>
                <w:noProof/>
                <w:webHidden/>
              </w:rPr>
              <w:instrText xml:space="preserve"> PAGEREF _Toc134147585 \h </w:instrText>
            </w:r>
            <w:r>
              <w:rPr>
                <w:noProof/>
                <w:webHidden/>
              </w:rPr>
            </w:r>
            <w:r>
              <w:rPr>
                <w:noProof/>
                <w:webHidden/>
              </w:rPr>
              <w:fldChar w:fldCharType="separate"/>
            </w:r>
            <w:r>
              <w:rPr>
                <w:noProof/>
                <w:webHidden/>
              </w:rPr>
              <w:t>12</w:t>
            </w:r>
            <w:r>
              <w:rPr>
                <w:noProof/>
                <w:webHidden/>
              </w:rPr>
              <w:fldChar w:fldCharType="end"/>
            </w:r>
          </w:hyperlink>
        </w:p>
        <w:p w14:paraId="1F4BE423" w14:textId="753B5A53" w:rsidR="00CA2608" w:rsidRDefault="00CA2608">
          <w:pPr>
            <w:pStyle w:val="TOC2"/>
            <w:tabs>
              <w:tab w:val="left" w:pos="720"/>
              <w:tab w:val="right" w:leader="dot" w:pos="9010"/>
            </w:tabs>
            <w:rPr>
              <w:rFonts w:cstheme="minorBidi"/>
              <w:b w:val="0"/>
              <w:bCs w:val="0"/>
              <w:noProof/>
              <w:kern w:val="2"/>
              <w:lang w:val="en-US" w:eastAsia="en-US"/>
              <w14:ligatures w14:val="standardContextual"/>
            </w:rPr>
          </w:pPr>
          <w:hyperlink w:anchor="_Toc134147586" w:history="1">
            <w:r w:rsidRPr="00380305">
              <w:rPr>
                <w:rStyle w:val="Hyperlink"/>
                <w:noProof/>
              </w:rPr>
              <w:t>3.</w:t>
            </w:r>
            <w:r>
              <w:rPr>
                <w:rFonts w:cstheme="minorBidi"/>
                <w:b w:val="0"/>
                <w:bCs w:val="0"/>
                <w:noProof/>
                <w:kern w:val="2"/>
                <w:lang w:val="en-US" w:eastAsia="en-US"/>
                <w14:ligatures w14:val="standardContextual"/>
              </w:rPr>
              <w:tab/>
            </w:r>
            <w:r w:rsidRPr="00380305">
              <w:rPr>
                <w:rStyle w:val="Hyperlink"/>
                <w:noProof/>
              </w:rPr>
              <w:t>Time Series Analysis</w:t>
            </w:r>
            <w:r>
              <w:rPr>
                <w:noProof/>
                <w:webHidden/>
              </w:rPr>
              <w:tab/>
            </w:r>
            <w:r>
              <w:rPr>
                <w:noProof/>
                <w:webHidden/>
              </w:rPr>
              <w:fldChar w:fldCharType="begin"/>
            </w:r>
            <w:r>
              <w:rPr>
                <w:noProof/>
                <w:webHidden/>
              </w:rPr>
              <w:instrText xml:space="preserve"> PAGEREF _Toc134147586 \h </w:instrText>
            </w:r>
            <w:r>
              <w:rPr>
                <w:noProof/>
                <w:webHidden/>
              </w:rPr>
            </w:r>
            <w:r>
              <w:rPr>
                <w:noProof/>
                <w:webHidden/>
              </w:rPr>
              <w:fldChar w:fldCharType="separate"/>
            </w:r>
            <w:r>
              <w:rPr>
                <w:noProof/>
                <w:webHidden/>
              </w:rPr>
              <w:t>16</w:t>
            </w:r>
            <w:r>
              <w:rPr>
                <w:noProof/>
                <w:webHidden/>
              </w:rPr>
              <w:fldChar w:fldCharType="end"/>
            </w:r>
          </w:hyperlink>
        </w:p>
        <w:p w14:paraId="3D7BE1C4" w14:textId="0FB7B130" w:rsidR="00CA2608" w:rsidRDefault="00CA2608">
          <w:pPr>
            <w:pStyle w:val="TOC3"/>
            <w:tabs>
              <w:tab w:val="left" w:pos="960"/>
              <w:tab w:val="right" w:leader="dot" w:pos="9010"/>
            </w:tabs>
            <w:rPr>
              <w:rFonts w:cstheme="minorBidi"/>
              <w:noProof/>
              <w:kern w:val="2"/>
              <w:sz w:val="22"/>
              <w:szCs w:val="22"/>
              <w:lang w:val="en-US" w:eastAsia="en-US"/>
              <w14:ligatures w14:val="standardContextual"/>
            </w:rPr>
          </w:pPr>
          <w:hyperlink w:anchor="_Toc134147587" w:history="1">
            <w:r w:rsidRPr="00380305">
              <w:rPr>
                <w:rStyle w:val="Hyperlink"/>
                <w:noProof/>
              </w:rPr>
              <w:t>a.</w:t>
            </w:r>
            <w:r>
              <w:rPr>
                <w:rFonts w:cstheme="minorBidi"/>
                <w:noProof/>
                <w:kern w:val="2"/>
                <w:sz w:val="22"/>
                <w:szCs w:val="22"/>
                <w:lang w:val="en-US" w:eastAsia="en-US"/>
                <w14:ligatures w14:val="standardContextual"/>
              </w:rPr>
              <w:tab/>
            </w:r>
            <w:r w:rsidRPr="00380305">
              <w:rPr>
                <w:rStyle w:val="Hyperlink"/>
                <w:noProof/>
              </w:rPr>
              <w:t>Moving Average</w:t>
            </w:r>
            <w:r>
              <w:rPr>
                <w:noProof/>
                <w:webHidden/>
              </w:rPr>
              <w:tab/>
            </w:r>
            <w:r>
              <w:rPr>
                <w:noProof/>
                <w:webHidden/>
              </w:rPr>
              <w:fldChar w:fldCharType="begin"/>
            </w:r>
            <w:r>
              <w:rPr>
                <w:noProof/>
                <w:webHidden/>
              </w:rPr>
              <w:instrText xml:space="preserve"> PAGEREF _Toc134147587 \h </w:instrText>
            </w:r>
            <w:r>
              <w:rPr>
                <w:noProof/>
                <w:webHidden/>
              </w:rPr>
            </w:r>
            <w:r>
              <w:rPr>
                <w:noProof/>
                <w:webHidden/>
              </w:rPr>
              <w:fldChar w:fldCharType="separate"/>
            </w:r>
            <w:r>
              <w:rPr>
                <w:noProof/>
                <w:webHidden/>
              </w:rPr>
              <w:t>16</w:t>
            </w:r>
            <w:r>
              <w:rPr>
                <w:noProof/>
                <w:webHidden/>
              </w:rPr>
              <w:fldChar w:fldCharType="end"/>
            </w:r>
          </w:hyperlink>
        </w:p>
        <w:p w14:paraId="5490E7E1" w14:textId="11A4CFD8" w:rsidR="00CA2608" w:rsidRDefault="00CA2608">
          <w:pPr>
            <w:pStyle w:val="TOC3"/>
            <w:tabs>
              <w:tab w:val="left" w:pos="960"/>
              <w:tab w:val="right" w:leader="dot" w:pos="9010"/>
            </w:tabs>
            <w:rPr>
              <w:rFonts w:cstheme="minorBidi"/>
              <w:noProof/>
              <w:kern w:val="2"/>
              <w:sz w:val="22"/>
              <w:szCs w:val="22"/>
              <w:lang w:val="en-US" w:eastAsia="en-US"/>
              <w14:ligatures w14:val="standardContextual"/>
            </w:rPr>
          </w:pPr>
          <w:hyperlink w:anchor="_Toc134147588" w:history="1">
            <w:r w:rsidRPr="00380305">
              <w:rPr>
                <w:rStyle w:val="Hyperlink"/>
                <w:noProof/>
              </w:rPr>
              <w:t>b.</w:t>
            </w:r>
            <w:r>
              <w:rPr>
                <w:rFonts w:cstheme="minorBidi"/>
                <w:noProof/>
                <w:kern w:val="2"/>
                <w:sz w:val="22"/>
                <w:szCs w:val="22"/>
                <w:lang w:val="en-US" w:eastAsia="en-US"/>
                <w14:ligatures w14:val="standardContextual"/>
              </w:rPr>
              <w:tab/>
            </w:r>
            <w:r w:rsidRPr="00380305">
              <w:rPr>
                <w:rStyle w:val="Hyperlink"/>
                <w:noProof/>
              </w:rPr>
              <w:t>Forecast:</w:t>
            </w:r>
            <w:r>
              <w:rPr>
                <w:noProof/>
                <w:webHidden/>
              </w:rPr>
              <w:tab/>
            </w:r>
            <w:r>
              <w:rPr>
                <w:noProof/>
                <w:webHidden/>
              </w:rPr>
              <w:fldChar w:fldCharType="begin"/>
            </w:r>
            <w:r>
              <w:rPr>
                <w:noProof/>
                <w:webHidden/>
              </w:rPr>
              <w:instrText xml:space="preserve"> PAGEREF _Toc134147588 \h </w:instrText>
            </w:r>
            <w:r>
              <w:rPr>
                <w:noProof/>
                <w:webHidden/>
              </w:rPr>
            </w:r>
            <w:r>
              <w:rPr>
                <w:noProof/>
                <w:webHidden/>
              </w:rPr>
              <w:fldChar w:fldCharType="separate"/>
            </w:r>
            <w:r>
              <w:rPr>
                <w:noProof/>
                <w:webHidden/>
              </w:rPr>
              <w:t>17</w:t>
            </w:r>
            <w:r>
              <w:rPr>
                <w:noProof/>
                <w:webHidden/>
              </w:rPr>
              <w:fldChar w:fldCharType="end"/>
            </w:r>
          </w:hyperlink>
        </w:p>
        <w:p w14:paraId="561C8E1C" w14:textId="112D052C" w:rsidR="00CA2608" w:rsidRDefault="00CA2608">
          <w:pPr>
            <w:pStyle w:val="TOC2"/>
            <w:tabs>
              <w:tab w:val="left" w:pos="720"/>
              <w:tab w:val="right" w:leader="dot" w:pos="9010"/>
            </w:tabs>
            <w:rPr>
              <w:rFonts w:cstheme="minorBidi"/>
              <w:b w:val="0"/>
              <w:bCs w:val="0"/>
              <w:noProof/>
              <w:kern w:val="2"/>
              <w:lang w:val="en-US" w:eastAsia="en-US"/>
              <w14:ligatures w14:val="standardContextual"/>
            </w:rPr>
          </w:pPr>
          <w:hyperlink w:anchor="_Toc134147589" w:history="1">
            <w:r w:rsidRPr="00380305">
              <w:rPr>
                <w:rStyle w:val="Hyperlink"/>
                <w:noProof/>
              </w:rPr>
              <w:t>4.</w:t>
            </w:r>
            <w:r>
              <w:rPr>
                <w:rFonts w:cstheme="minorBidi"/>
                <w:b w:val="0"/>
                <w:bCs w:val="0"/>
                <w:noProof/>
                <w:kern w:val="2"/>
                <w:lang w:val="en-US" w:eastAsia="en-US"/>
                <w14:ligatures w14:val="standardContextual"/>
              </w:rPr>
              <w:tab/>
            </w:r>
            <w:r w:rsidRPr="00380305">
              <w:rPr>
                <w:rStyle w:val="Hyperlink"/>
                <w:noProof/>
              </w:rPr>
              <w:t>Summary:</w:t>
            </w:r>
            <w:r>
              <w:rPr>
                <w:noProof/>
                <w:webHidden/>
              </w:rPr>
              <w:tab/>
            </w:r>
            <w:r>
              <w:rPr>
                <w:noProof/>
                <w:webHidden/>
              </w:rPr>
              <w:fldChar w:fldCharType="begin"/>
            </w:r>
            <w:r>
              <w:rPr>
                <w:noProof/>
                <w:webHidden/>
              </w:rPr>
              <w:instrText xml:space="preserve"> PAGEREF _Toc134147589 \h </w:instrText>
            </w:r>
            <w:r>
              <w:rPr>
                <w:noProof/>
                <w:webHidden/>
              </w:rPr>
            </w:r>
            <w:r>
              <w:rPr>
                <w:noProof/>
                <w:webHidden/>
              </w:rPr>
              <w:fldChar w:fldCharType="separate"/>
            </w:r>
            <w:r>
              <w:rPr>
                <w:noProof/>
                <w:webHidden/>
              </w:rPr>
              <w:t>20</w:t>
            </w:r>
            <w:r>
              <w:rPr>
                <w:noProof/>
                <w:webHidden/>
              </w:rPr>
              <w:fldChar w:fldCharType="end"/>
            </w:r>
          </w:hyperlink>
        </w:p>
        <w:p w14:paraId="2084AD2D" w14:textId="39A5DAC3" w:rsidR="00CA2608" w:rsidRDefault="00CA2608">
          <w:pPr>
            <w:pStyle w:val="TOC1"/>
            <w:tabs>
              <w:tab w:val="left" w:pos="480"/>
              <w:tab w:val="right" w:leader="dot" w:pos="9010"/>
            </w:tabs>
            <w:rPr>
              <w:rFonts w:cstheme="minorBidi"/>
              <w:b w:val="0"/>
              <w:bCs w:val="0"/>
              <w:i w:val="0"/>
              <w:iCs w:val="0"/>
              <w:noProof/>
              <w:kern w:val="2"/>
              <w:sz w:val="22"/>
              <w:szCs w:val="22"/>
              <w:lang w:val="en-US" w:eastAsia="en-US"/>
              <w14:ligatures w14:val="standardContextual"/>
            </w:rPr>
          </w:pPr>
          <w:hyperlink w:anchor="_Toc134147590" w:history="1">
            <w:r w:rsidRPr="00380305">
              <w:rPr>
                <w:rStyle w:val="Hyperlink"/>
                <w:noProof/>
              </w:rPr>
              <w:t>III.</w:t>
            </w:r>
            <w:r>
              <w:rPr>
                <w:rFonts w:cstheme="minorBidi"/>
                <w:b w:val="0"/>
                <w:bCs w:val="0"/>
                <w:i w:val="0"/>
                <w:iCs w:val="0"/>
                <w:noProof/>
                <w:kern w:val="2"/>
                <w:sz w:val="22"/>
                <w:szCs w:val="22"/>
                <w:lang w:val="en-US" w:eastAsia="en-US"/>
                <w14:ligatures w14:val="standardContextual"/>
              </w:rPr>
              <w:tab/>
            </w:r>
            <w:r w:rsidRPr="00380305">
              <w:rPr>
                <w:rStyle w:val="Hyperlink"/>
                <w:noProof/>
              </w:rPr>
              <w:t>Fundamental Analysis:</w:t>
            </w:r>
            <w:r>
              <w:rPr>
                <w:noProof/>
                <w:webHidden/>
              </w:rPr>
              <w:tab/>
            </w:r>
            <w:r>
              <w:rPr>
                <w:noProof/>
                <w:webHidden/>
              </w:rPr>
              <w:fldChar w:fldCharType="begin"/>
            </w:r>
            <w:r>
              <w:rPr>
                <w:noProof/>
                <w:webHidden/>
              </w:rPr>
              <w:instrText xml:space="preserve"> PAGEREF _Toc134147590 \h </w:instrText>
            </w:r>
            <w:r>
              <w:rPr>
                <w:noProof/>
                <w:webHidden/>
              </w:rPr>
            </w:r>
            <w:r>
              <w:rPr>
                <w:noProof/>
                <w:webHidden/>
              </w:rPr>
              <w:fldChar w:fldCharType="separate"/>
            </w:r>
            <w:r>
              <w:rPr>
                <w:noProof/>
                <w:webHidden/>
              </w:rPr>
              <w:t>20</w:t>
            </w:r>
            <w:r>
              <w:rPr>
                <w:noProof/>
                <w:webHidden/>
              </w:rPr>
              <w:fldChar w:fldCharType="end"/>
            </w:r>
          </w:hyperlink>
        </w:p>
        <w:p w14:paraId="1CF46B7F" w14:textId="623A3E9D" w:rsidR="00CA2608" w:rsidRDefault="00CA2608">
          <w:pPr>
            <w:pStyle w:val="TOC2"/>
            <w:tabs>
              <w:tab w:val="left" w:pos="720"/>
              <w:tab w:val="right" w:leader="dot" w:pos="9010"/>
            </w:tabs>
            <w:rPr>
              <w:rFonts w:cstheme="minorBidi"/>
              <w:b w:val="0"/>
              <w:bCs w:val="0"/>
              <w:noProof/>
              <w:kern w:val="2"/>
              <w:lang w:val="en-US" w:eastAsia="en-US"/>
              <w14:ligatures w14:val="standardContextual"/>
            </w:rPr>
          </w:pPr>
          <w:hyperlink w:anchor="_Toc134147591" w:history="1">
            <w:r w:rsidRPr="00380305">
              <w:rPr>
                <w:rStyle w:val="Hyperlink"/>
                <w:noProof/>
              </w:rPr>
              <w:t>1.</w:t>
            </w:r>
            <w:r>
              <w:rPr>
                <w:rFonts w:cstheme="minorBidi"/>
                <w:b w:val="0"/>
                <w:bCs w:val="0"/>
                <w:noProof/>
                <w:kern w:val="2"/>
                <w:lang w:val="en-US" w:eastAsia="en-US"/>
                <w14:ligatures w14:val="standardContextual"/>
              </w:rPr>
              <w:tab/>
            </w:r>
            <w:r w:rsidRPr="00380305">
              <w:rPr>
                <w:rStyle w:val="Hyperlink"/>
                <w:noProof/>
              </w:rPr>
              <w:t>Income statements:</w:t>
            </w:r>
            <w:r>
              <w:rPr>
                <w:noProof/>
                <w:webHidden/>
              </w:rPr>
              <w:tab/>
            </w:r>
            <w:r>
              <w:rPr>
                <w:noProof/>
                <w:webHidden/>
              </w:rPr>
              <w:fldChar w:fldCharType="begin"/>
            </w:r>
            <w:r>
              <w:rPr>
                <w:noProof/>
                <w:webHidden/>
              </w:rPr>
              <w:instrText xml:space="preserve"> PAGEREF _Toc134147591 \h </w:instrText>
            </w:r>
            <w:r>
              <w:rPr>
                <w:noProof/>
                <w:webHidden/>
              </w:rPr>
            </w:r>
            <w:r>
              <w:rPr>
                <w:noProof/>
                <w:webHidden/>
              </w:rPr>
              <w:fldChar w:fldCharType="separate"/>
            </w:r>
            <w:r>
              <w:rPr>
                <w:noProof/>
                <w:webHidden/>
              </w:rPr>
              <w:t>20</w:t>
            </w:r>
            <w:r>
              <w:rPr>
                <w:noProof/>
                <w:webHidden/>
              </w:rPr>
              <w:fldChar w:fldCharType="end"/>
            </w:r>
          </w:hyperlink>
        </w:p>
        <w:p w14:paraId="67CC99F0" w14:textId="30CF696B" w:rsidR="00CA2608" w:rsidRDefault="00CA2608">
          <w:pPr>
            <w:pStyle w:val="TOC2"/>
            <w:tabs>
              <w:tab w:val="left" w:pos="720"/>
              <w:tab w:val="right" w:leader="dot" w:pos="9010"/>
            </w:tabs>
            <w:rPr>
              <w:rFonts w:cstheme="minorBidi"/>
              <w:b w:val="0"/>
              <w:bCs w:val="0"/>
              <w:noProof/>
              <w:kern w:val="2"/>
              <w:lang w:val="en-US" w:eastAsia="en-US"/>
              <w14:ligatures w14:val="standardContextual"/>
            </w:rPr>
          </w:pPr>
          <w:hyperlink w:anchor="_Toc134147592" w:history="1">
            <w:r w:rsidRPr="00380305">
              <w:rPr>
                <w:rStyle w:val="Hyperlink"/>
                <w:noProof/>
              </w:rPr>
              <w:t>2.</w:t>
            </w:r>
            <w:r>
              <w:rPr>
                <w:rFonts w:cstheme="minorBidi"/>
                <w:b w:val="0"/>
                <w:bCs w:val="0"/>
                <w:noProof/>
                <w:kern w:val="2"/>
                <w:lang w:val="en-US" w:eastAsia="en-US"/>
                <w14:ligatures w14:val="standardContextual"/>
              </w:rPr>
              <w:tab/>
            </w:r>
            <w:r w:rsidRPr="00380305">
              <w:rPr>
                <w:rStyle w:val="Hyperlink"/>
                <w:noProof/>
              </w:rPr>
              <w:t>Capital structure:</w:t>
            </w:r>
            <w:r>
              <w:rPr>
                <w:noProof/>
                <w:webHidden/>
              </w:rPr>
              <w:tab/>
            </w:r>
            <w:r>
              <w:rPr>
                <w:noProof/>
                <w:webHidden/>
              </w:rPr>
              <w:fldChar w:fldCharType="begin"/>
            </w:r>
            <w:r>
              <w:rPr>
                <w:noProof/>
                <w:webHidden/>
              </w:rPr>
              <w:instrText xml:space="preserve"> PAGEREF _Toc134147592 \h </w:instrText>
            </w:r>
            <w:r>
              <w:rPr>
                <w:noProof/>
                <w:webHidden/>
              </w:rPr>
            </w:r>
            <w:r>
              <w:rPr>
                <w:noProof/>
                <w:webHidden/>
              </w:rPr>
              <w:fldChar w:fldCharType="separate"/>
            </w:r>
            <w:r>
              <w:rPr>
                <w:noProof/>
                <w:webHidden/>
              </w:rPr>
              <w:t>21</w:t>
            </w:r>
            <w:r>
              <w:rPr>
                <w:noProof/>
                <w:webHidden/>
              </w:rPr>
              <w:fldChar w:fldCharType="end"/>
            </w:r>
          </w:hyperlink>
        </w:p>
        <w:p w14:paraId="2F3A6BDF" w14:textId="57604470" w:rsidR="00CA2608" w:rsidRDefault="00CA2608">
          <w:pPr>
            <w:pStyle w:val="TOC2"/>
            <w:tabs>
              <w:tab w:val="left" w:pos="720"/>
              <w:tab w:val="right" w:leader="dot" w:pos="9010"/>
            </w:tabs>
            <w:rPr>
              <w:rFonts w:cstheme="minorBidi"/>
              <w:b w:val="0"/>
              <w:bCs w:val="0"/>
              <w:noProof/>
              <w:kern w:val="2"/>
              <w:lang w:val="en-US" w:eastAsia="en-US"/>
              <w14:ligatures w14:val="standardContextual"/>
            </w:rPr>
          </w:pPr>
          <w:hyperlink w:anchor="_Toc134147593" w:history="1">
            <w:r w:rsidRPr="00380305">
              <w:rPr>
                <w:rStyle w:val="Hyperlink"/>
                <w:noProof/>
              </w:rPr>
              <w:t>3.</w:t>
            </w:r>
            <w:r>
              <w:rPr>
                <w:rFonts w:cstheme="minorBidi"/>
                <w:b w:val="0"/>
                <w:bCs w:val="0"/>
                <w:noProof/>
                <w:kern w:val="2"/>
                <w:lang w:val="en-US" w:eastAsia="en-US"/>
                <w14:ligatures w14:val="standardContextual"/>
              </w:rPr>
              <w:tab/>
            </w:r>
            <w:r w:rsidRPr="00380305">
              <w:rPr>
                <w:rStyle w:val="Hyperlink"/>
                <w:noProof/>
              </w:rPr>
              <w:t>Strategic Analysis:</w:t>
            </w:r>
            <w:r>
              <w:rPr>
                <w:noProof/>
                <w:webHidden/>
              </w:rPr>
              <w:tab/>
            </w:r>
            <w:r>
              <w:rPr>
                <w:noProof/>
                <w:webHidden/>
              </w:rPr>
              <w:fldChar w:fldCharType="begin"/>
            </w:r>
            <w:r>
              <w:rPr>
                <w:noProof/>
                <w:webHidden/>
              </w:rPr>
              <w:instrText xml:space="preserve"> PAGEREF _Toc134147593 \h </w:instrText>
            </w:r>
            <w:r>
              <w:rPr>
                <w:noProof/>
                <w:webHidden/>
              </w:rPr>
            </w:r>
            <w:r>
              <w:rPr>
                <w:noProof/>
                <w:webHidden/>
              </w:rPr>
              <w:fldChar w:fldCharType="separate"/>
            </w:r>
            <w:r>
              <w:rPr>
                <w:noProof/>
                <w:webHidden/>
              </w:rPr>
              <w:t>21</w:t>
            </w:r>
            <w:r>
              <w:rPr>
                <w:noProof/>
                <w:webHidden/>
              </w:rPr>
              <w:fldChar w:fldCharType="end"/>
            </w:r>
          </w:hyperlink>
        </w:p>
        <w:p w14:paraId="6F492220" w14:textId="77EE1530" w:rsidR="00CA2608" w:rsidRDefault="00CA2608">
          <w:pPr>
            <w:pStyle w:val="TOC1"/>
            <w:tabs>
              <w:tab w:val="left" w:pos="720"/>
              <w:tab w:val="right" w:leader="dot" w:pos="9010"/>
            </w:tabs>
            <w:rPr>
              <w:rFonts w:cstheme="minorBidi"/>
              <w:b w:val="0"/>
              <w:bCs w:val="0"/>
              <w:i w:val="0"/>
              <w:iCs w:val="0"/>
              <w:noProof/>
              <w:kern w:val="2"/>
              <w:sz w:val="22"/>
              <w:szCs w:val="22"/>
              <w:lang w:val="en-US" w:eastAsia="en-US"/>
              <w14:ligatures w14:val="standardContextual"/>
            </w:rPr>
          </w:pPr>
          <w:hyperlink w:anchor="_Toc134147594" w:history="1">
            <w:r w:rsidRPr="00380305">
              <w:rPr>
                <w:rStyle w:val="Hyperlink"/>
                <w:noProof/>
              </w:rPr>
              <w:t>IV.</w:t>
            </w:r>
            <w:r>
              <w:rPr>
                <w:rFonts w:cstheme="minorBidi"/>
                <w:b w:val="0"/>
                <w:bCs w:val="0"/>
                <w:i w:val="0"/>
                <w:iCs w:val="0"/>
                <w:noProof/>
                <w:kern w:val="2"/>
                <w:sz w:val="22"/>
                <w:szCs w:val="22"/>
                <w:lang w:val="en-US" w:eastAsia="en-US"/>
                <w14:ligatures w14:val="standardContextual"/>
              </w:rPr>
              <w:tab/>
            </w:r>
            <w:r w:rsidRPr="00380305">
              <w:rPr>
                <w:rStyle w:val="Hyperlink"/>
                <w:noProof/>
              </w:rPr>
              <w:t>Conclusion and Suggestions:</w:t>
            </w:r>
            <w:r>
              <w:rPr>
                <w:noProof/>
                <w:webHidden/>
              </w:rPr>
              <w:tab/>
            </w:r>
            <w:r>
              <w:rPr>
                <w:noProof/>
                <w:webHidden/>
              </w:rPr>
              <w:fldChar w:fldCharType="begin"/>
            </w:r>
            <w:r>
              <w:rPr>
                <w:noProof/>
                <w:webHidden/>
              </w:rPr>
              <w:instrText xml:space="preserve"> PAGEREF _Toc134147594 \h </w:instrText>
            </w:r>
            <w:r>
              <w:rPr>
                <w:noProof/>
                <w:webHidden/>
              </w:rPr>
            </w:r>
            <w:r>
              <w:rPr>
                <w:noProof/>
                <w:webHidden/>
              </w:rPr>
              <w:fldChar w:fldCharType="separate"/>
            </w:r>
            <w:r>
              <w:rPr>
                <w:noProof/>
                <w:webHidden/>
              </w:rPr>
              <w:t>22</w:t>
            </w:r>
            <w:r>
              <w:rPr>
                <w:noProof/>
                <w:webHidden/>
              </w:rPr>
              <w:fldChar w:fldCharType="end"/>
            </w:r>
          </w:hyperlink>
        </w:p>
        <w:p w14:paraId="63AF16D7" w14:textId="0F06F929" w:rsidR="00CA2608" w:rsidRDefault="00CA2608">
          <w:pPr>
            <w:pStyle w:val="TOC1"/>
            <w:tabs>
              <w:tab w:val="left" w:pos="480"/>
              <w:tab w:val="right" w:leader="dot" w:pos="9010"/>
            </w:tabs>
            <w:rPr>
              <w:rFonts w:cstheme="minorBidi"/>
              <w:b w:val="0"/>
              <w:bCs w:val="0"/>
              <w:i w:val="0"/>
              <w:iCs w:val="0"/>
              <w:noProof/>
              <w:kern w:val="2"/>
              <w:sz w:val="22"/>
              <w:szCs w:val="22"/>
              <w:lang w:val="en-US" w:eastAsia="en-US"/>
              <w14:ligatures w14:val="standardContextual"/>
            </w:rPr>
          </w:pPr>
          <w:hyperlink w:anchor="_Toc134147595" w:history="1">
            <w:r w:rsidRPr="00380305">
              <w:rPr>
                <w:rStyle w:val="Hyperlink"/>
                <w:noProof/>
              </w:rPr>
              <w:t>V.</w:t>
            </w:r>
            <w:r>
              <w:rPr>
                <w:rFonts w:cstheme="minorBidi"/>
                <w:b w:val="0"/>
                <w:bCs w:val="0"/>
                <w:i w:val="0"/>
                <w:iCs w:val="0"/>
                <w:noProof/>
                <w:kern w:val="2"/>
                <w:sz w:val="22"/>
                <w:szCs w:val="22"/>
                <w:lang w:val="en-US" w:eastAsia="en-US"/>
                <w14:ligatures w14:val="standardContextual"/>
              </w:rPr>
              <w:tab/>
            </w:r>
            <w:r w:rsidRPr="00380305">
              <w:rPr>
                <w:rStyle w:val="Hyperlink"/>
                <w:noProof/>
              </w:rPr>
              <w:t>Reference</w:t>
            </w:r>
            <w:r>
              <w:rPr>
                <w:noProof/>
                <w:webHidden/>
              </w:rPr>
              <w:tab/>
            </w:r>
            <w:r>
              <w:rPr>
                <w:noProof/>
                <w:webHidden/>
              </w:rPr>
              <w:fldChar w:fldCharType="begin"/>
            </w:r>
            <w:r>
              <w:rPr>
                <w:noProof/>
                <w:webHidden/>
              </w:rPr>
              <w:instrText xml:space="preserve"> PAGEREF _Toc134147595 \h </w:instrText>
            </w:r>
            <w:r>
              <w:rPr>
                <w:noProof/>
                <w:webHidden/>
              </w:rPr>
            </w:r>
            <w:r>
              <w:rPr>
                <w:noProof/>
                <w:webHidden/>
              </w:rPr>
              <w:fldChar w:fldCharType="separate"/>
            </w:r>
            <w:r>
              <w:rPr>
                <w:noProof/>
                <w:webHidden/>
              </w:rPr>
              <w:t>22</w:t>
            </w:r>
            <w:r>
              <w:rPr>
                <w:noProof/>
                <w:webHidden/>
              </w:rPr>
              <w:fldChar w:fldCharType="end"/>
            </w:r>
          </w:hyperlink>
        </w:p>
        <w:p w14:paraId="4F0C21A1" w14:textId="4DAB1DFF" w:rsidR="00CA2608" w:rsidRDefault="00CA2608">
          <w:pPr>
            <w:pStyle w:val="TOC1"/>
            <w:tabs>
              <w:tab w:val="left" w:pos="720"/>
              <w:tab w:val="right" w:leader="dot" w:pos="9010"/>
            </w:tabs>
            <w:rPr>
              <w:rFonts w:cstheme="minorBidi"/>
              <w:b w:val="0"/>
              <w:bCs w:val="0"/>
              <w:i w:val="0"/>
              <w:iCs w:val="0"/>
              <w:noProof/>
              <w:kern w:val="2"/>
              <w:sz w:val="22"/>
              <w:szCs w:val="22"/>
              <w:lang w:val="en-US" w:eastAsia="en-US"/>
              <w14:ligatures w14:val="standardContextual"/>
            </w:rPr>
          </w:pPr>
          <w:hyperlink w:anchor="_Toc134147596" w:history="1">
            <w:r w:rsidRPr="00380305">
              <w:rPr>
                <w:rStyle w:val="Hyperlink"/>
                <w:noProof/>
              </w:rPr>
              <w:t>VI.</w:t>
            </w:r>
            <w:r>
              <w:rPr>
                <w:rFonts w:cstheme="minorBidi"/>
                <w:b w:val="0"/>
                <w:bCs w:val="0"/>
                <w:i w:val="0"/>
                <w:iCs w:val="0"/>
                <w:noProof/>
                <w:kern w:val="2"/>
                <w:sz w:val="22"/>
                <w:szCs w:val="22"/>
                <w:lang w:val="en-US" w:eastAsia="en-US"/>
                <w14:ligatures w14:val="standardContextual"/>
              </w:rPr>
              <w:tab/>
            </w:r>
            <w:r w:rsidRPr="00380305">
              <w:rPr>
                <w:rStyle w:val="Hyperlink"/>
                <w:noProof/>
              </w:rPr>
              <w:t>Appendix</w:t>
            </w:r>
            <w:r>
              <w:rPr>
                <w:noProof/>
                <w:webHidden/>
              </w:rPr>
              <w:tab/>
            </w:r>
            <w:r>
              <w:rPr>
                <w:noProof/>
                <w:webHidden/>
              </w:rPr>
              <w:fldChar w:fldCharType="begin"/>
            </w:r>
            <w:r>
              <w:rPr>
                <w:noProof/>
                <w:webHidden/>
              </w:rPr>
              <w:instrText xml:space="preserve"> PAGEREF _Toc134147596 \h </w:instrText>
            </w:r>
            <w:r>
              <w:rPr>
                <w:noProof/>
                <w:webHidden/>
              </w:rPr>
            </w:r>
            <w:r>
              <w:rPr>
                <w:noProof/>
                <w:webHidden/>
              </w:rPr>
              <w:fldChar w:fldCharType="separate"/>
            </w:r>
            <w:r>
              <w:rPr>
                <w:noProof/>
                <w:webHidden/>
              </w:rPr>
              <w:t>24</w:t>
            </w:r>
            <w:r>
              <w:rPr>
                <w:noProof/>
                <w:webHidden/>
              </w:rPr>
              <w:fldChar w:fldCharType="end"/>
            </w:r>
          </w:hyperlink>
        </w:p>
        <w:p w14:paraId="1F72EA11" w14:textId="0583D52C" w:rsidR="00CA2608" w:rsidRDefault="00CA2608">
          <w:pPr>
            <w:pStyle w:val="TOC2"/>
            <w:tabs>
              <w:tab w:val="right" w:leader="dot" w:pos="9010"/>
            </w:tabs>
            <w:rPr>
              <w:rFonts w:cstheme="minorBidi"/>
              <w:b w:val="0"/>
              <w:bCs w:val="0"/>
              <w:noProof/>
              <w:kern w:val="2"/>
              <w:lang w:val="en-US" w:eastAsia="en-US"/>
              <w14:ligatures w14:val="standardContextual"/>
            </w:rPr>
          </w:pPr>
          <w:hyperlink w:anchor="_Toc134147597" w:history="1">
            <w:r w:rsidRPr="00380305">
              <w:rPr>
                <w:rStyle w:val="Hyperlink"/>
                <w:noProof/>
              </w:rPr>
              <w:t>Appendix 1: Deliveroo historical data is limited from the 31</w:t>
            </w:r>
            <w:r w:rsidRPr="00380305">
              <w:rPr>
                <w:rStyle w:val="Hyperlink"/>
                <w:noProof/>
                <w:vertAlign w:val="superscript"/>
              </w:rPr>
              <w:t>st</w:t>
            </w:r>
            <w:r w:rsidRPr="00380305">
              <w:rPr>
                <w:rStyle w:val="Hyperlink"/>
                <w:noProof/>
              </w:rPr>
              <w:t xml:space="preserve"> of March 2021</w:t>
            </w:r>
            <w:r>
              <w:rPr>
                <w:noProof/>
                <w:webHidden/>
              </w:rPr>
              <w:tab/>
            </w:r>
            <w:r>
              <w:rPr>
                <w:noProof/>
                <w:webHidden/>
              </w:rPr>
              <w:fldChar w:fldCharType="begin"/>
            </w:r>
            <w:r>
              <w:rPr>
                <w:noProof/>
                <w:webHidden/>
              </w:rPr>
              <w:instrText xml:space="preserve"> PAGEREF _Toc134147597 \h </w:instrText>
            </w:r>
            <w:r>
              <w:rPr>
                <w:noProof/>
                <w:webHidden/>
              </w:rPr>
            </w:r>
            <w:r>
              <w:rPr>
                <w:noProof/>
                <w:webHidden/>
              </w:rPr>
              <w:fldChar w:fldCharType="separate"/>
            </w:r>
            <w:r>
              <w:rPr>
                <w:noProof/>
                <w:webHidden/>
              </w:rPr>
              <w:t>24</w:t>
            </w:r>
            <w:r>
              <w:rPr>
                <w:noProof/>
                <w:webHidden/>
              </w:rPr>
              <w:fldChar w:fldCharType="end"/>
            </w:r>
          </w:hyperlink>
        </w:p>
        <w:p w14:paraId="168A5A15" w14:textId="0D46B9F9" w:rsidR="00CA2608" w:rsidRDefault="00CA2608">
          <w:pPr>
            <w:pStyle w:val="TOC2"/>
            <w:tabs>
              <w:tab w:val="right" w:leader="dot" w:pos="9010"/>
            </w:tabs>
            <w:rPr>
              <w:rFonts w:cstheme="minorBidi"/>
              <w:b w:val="0"/>
              <w:bCs w:val="0"/>
              <w:noProof/>
              <w:kern w:val="2"/>
              <w:lang w:val="en-US" w:eastAsia="en-US"/>
              <w14:ligatures w14:val="standardContextual"/>
            </w:rPr>
          </w:pPr>
          <w:hyperlink w:anchor="_Toc134147598" w:history="1">
            <w:r w:rsidRPr="00380305">
              <w:rPr>
                <w:rStyle w:val="Hyperlink"/>
                <w:noProof/>
              </w:rPr>
              <w:t>Appendix 2: Error metrics calculated for each forecasting method</w:t>
            </w:r>
            <w:r>
              <w:rPr>
                <w:noProof/>
                <w:webHidden/>
              </w:rPr>
              <w:tab/>
            </w:r>
            <w:r>
              <w:rPr>
                <w:noProof/>
                <w:webHidden/>
              </w:rPr>
              <w:fldChar w:fldCharType="begin"/>
            </w:r>
            <w:r>
              <w:rPr>
                <w:noProof/>
                <w:webHidden/>
              </w:rPr>
              <w:instrText xml:space="preserve"> PAGEREF _Toc134147598 \h </w:instrText>
            </w:r>
            <w:r>
              <w:rPr>
                <w:noProof/>
                <w:webHidden/>
              </w:rPr>
            </w:r>
            <w:r>
              <w:rPr>
                <w:noProof/>
                <w:webHidden/>
              </w:rPr>
              <w:fldChar w:fldCharType="separate"/>
            </w:r>
            <w:r>
              <w:rPr>
                <w:noProof/>
                <w:webHidden/>
              </w:rPr>
              <w:t>25</w:t>
            </w:r>
            <w:r>
              <w:rPr>
                <w:noProof/>
                <w:webHidden/>
              </w:rPr>
              <w:fldChar w:fldCharType="end"/>
            </w:r>
          </w:hyperlink>
        </w:p>
        <w:p w14:paraId="6A54E315" w14:textId="54AE8B2E" w:rsidR="00FF402F" w:rsidRPr="00DD15A9" w:rsidRDefault="00E14E79" w:rsidP="00C75D53">
          <w:pPr>
            <w:spacing w:beforeLines="240" w:before="576" w:after="0"/>
            <w:contextualSpacing/>
            <w:rPr>
              <w:rFonts w:cs="Times New Roman"/>
              <w:b/>
              <w:bCs/>
              <w:noProof/>
              <w:sz w:val="22"/>
              <w:szCs w:val="22"/>
            </w:rPr>
          </w:pPr>
          <w:r w:rsidRPr="00C75D53">
            <w:rPr>
              <w:rFonts w:cs="Times New Roman"/>
              <w:b/>
              <w:bCs/>
              <w:noProof/>
              <w:sz w:val="22"/>
              <w:szCs w:val="22"/>
            </w:rPr>
            <w:fldChar w:fldCharType="end"/>
          </w:r>
        </w:p>
      </w:sdtContent>
    </w:sdt>
    <w:p w14:paraId="4A922C4D" w14:textId="77777777" w:rsidR="00DD15A9" w:rsidRPr="00C75D53" w:rsidRDefault="00DD15A9" w:rsidP="00DD15A9">
      <w:pPr>
        <w:pStyle w:val="Heading1"/>
        <w:rPr>
          <w:b/>
          <w:bCs/>
        </w:rPr>
      </w:pPr>
      <w:bookmarkStart w:id="0" w:name="_Toc134147574"/>
      <w:r w:rsidRPr="00C75D53">
        <w:rPr>
          <w:b/>
          <w:bCs/>
        </w:rPr>
        <w:lastRenderedPageBreak/>
        <w:t>Executive Summary</w:t>
      </w:r>
      <w:bookmarkEnd w:id="0"/>
      <w:r w:rsidRPr="00C75D53">
        <w:rPr>
          <w:b/>
          <w:bCs/>
        </w:rPr>
        <w:t xml:space="preserve"> </w:t>
      </w:r>
    </w:p>
    <w:p w14:paraId="64BA54CC" w14:textId="77777777" w:rsidR="00DD15A9" w:rsidRDefault="00DD15A9" w:rsidP="00DD15A9">
      <w:pPr>
        <w:spacing w:beforeLines="240" w:before="576" w:after="0"/>
        <w:contextualSpacing/>
        <w:rPr>
          <w:rFonts w:cs="Times New Roman"/>
          <w:sz w:val="22"/>
          <w:szCs w:val="22"/>
        </w:rPr>
      </w:pPr>
      <w:r w:rsidRPr="00C75D53">
        <w:rPr>
          <w:rFonts w:cs="Times New Roman"/>
          <w:sz w:val="22"/>
          <w:szCs w:val="22"/>
        </w:rPr>
        <w:t xml:space="preserve">This report analysis the performance of Just Eat Takeaway (JET), a large enterprise in the online delivery market, by conducting technical and fundamental analysis in two separate sections. By doing so, it is expected to provide results that could support the decision of investors who are interested in the company. </w:t>
      </w:r>
    </w:p>
    <w:p w14:paraId="7164C314" w14:textId="77777777" w:rsidR="00767779" w:rsidRPr="00C75D53" w:rsidRDefault="00767779" w:rsidP="00DD15A9">
      <w:pPr>
        <w:spacing w:beforeLines="240" w:before="576" w:after="0"/>
        <w:contextualSpacing/>
        <w:rPr>
          <w:rFonts w:cs="Times New Roman"/>
          <w:sz w:val="22"/>
          <w:szCs w:val="22"/>
        </w:rPr>
      </w:pPr>
    </w:p>
    <w:p w14:paraId="5B53F33E" w14:textId="77777777" w:rsidR="00DD15A9" w:rsidRPr="00C75D53" w:rsidRDefault="00DD15A9" w:rsidP="00DD15A9">
      <w:pPr>
        <w:spacing w:beforeLines="240" w:before="576" w:after="0"/>
        <w:contextualSpacing/>
        <w:rPr>
          <w:rFonts w:cs="Times New Roman"/>
          <w:sz w:val="22"/>
          <w:szCs w:val="22"/>
        </w:rPr>
      </w:pPr>
      <w:r w:rsidRPr="00C75D53">
        <w:rPr>
          <w:rFonts w:cs="Times New Roman"/>
          <w:sz w:val="22"/>
          <w:szCs w:val="22"/>
        </w:rPr>
        <w:t xml:space="preserve">JET's stock performance is initially compared to that of one of its industry competitors, OCADO group, a supermarket delivery company, and the FTSE100 market index. After performing descriptive analysis, it is discovered that JET and OCADO stocks are more volatile than the FTSE market. As a result, investing in FTSE index stocks is a safer bet for investors. However, after delving deeper into JET's stock using empirical rules, the stock appears to have a high probability of generating significantly higher returns than the others, despite its high volatility. As a result, JET stock is appropriate for aggressive investors. Additionally, correlation and regression analysis are also applied revealing a strong positive relationship between JET and OCADO stock prices and a weak inverse relationship between JET and FTSE prices. As a result, investors are advised to focus on JET's competitor while forecasting the stocks. Importantly, investors are advised to use Holt's Winters Method (Multiplicative) to forecast, and the first quarter of 2022 is the best time to buy JET stock because it is expected to decline.  </w:t>
      </w:r>
    </w:p>
    <w:p w14:paraId="3EA78942" w14:textId="77777777" w:rsidR="00DD15A9" w:rsidRPr="00C75D53" w:rsidRDefault="00DD15A9" w:rsidP="00DD15A9">
      <w:pPr>
        <w:spacing w:beforeLines="240" w:before="576" w:after="0"/>
        <w:contextualSpacing/>
        <w:rPr>
          <w:rFonts w:cs="Times New Roman"/>
          <w:sz w:val="22"/>
          <w:szCs w:val="22"/>
        </w:rPr>
      </w:pPr>
    </w:p>
    <w:p w14:paraId="3C498CDB" w14:textId="77777777" w:rsidR="00DD15A9" w:rsidRPr="00C75D53" w:rsidRDefault="00DD15A9" w:rsidP="00DD15A9">
      <w:pPr>
        <w:spacing w:beforeLines="240" w:before="576" w:after="0"/>
        <w:contextualSpacing/>
        <w:rPr>
          <w:rFonts w:cs="Times New Roman"/>
          <w:sz w:val="22"/>
          <w:szCs w:val="22"/>
        </w:rPr>
      </w:pPr>
      <w:r w:rsidRPr="00C75D53">
        <w:rPr>
          <w:rFonts w:cs="Times New Roman"/>
          <w:sz w:val="22"/>
          <w:szCs w:val="22"/>
        </w:rPr>
        <w:t>Finally, when combined the above analysis with the fundamental analysis of the company annual reports from 2019 to 2021, JET is expected to be a profitable investment and should be invested in the long-term to avoid its short-term instability.</w:t>
      </w:r>
    </w:p>
    <w:p w14:paraId="1C989DE2" w14:textId="77777777" w:rsidR="00FF402F" w:rsidRPr="00C75D53" w:rsidRDefault="00FF402F" w:rsidP="00C75D53">
      <w:pPr>
        <w:spacing w:beforeLines="240" w:before="576" w:after="0"/>
        <w:contextualSpacing/>
        <w:rPr>
          <w:rFonts w:cs="Times New Roman"/>
          <w:sz w:val="22"/>
          <w:szCs w:val="22"/>
        </w:rPr>
      </w:pPr>
    </w:p>
    <w:p w14:paraId="775F5824" w14:textId="1FCF52D3" w:rsidR="00583C86" w:rsidRPr="00ED0CF6" w:rsidRDefault="00405407" w:rsidP="00C75D53">
      <w:pPr>
        <w:pStyle w:val="Heading1"/>
        <w:numPr>
          <w:ilvl w:val="0"/>
          <w:numId w:val="8"/>
        </w:numPr>
        <w:rPr>
          <w:b/>
          <w:bCs/>
        </w:rPr>
      </w:pPr>
      <w:bookmarkStart w:id="1" w:name="_Toc134147575"/>
      <w:r w:rsidRPr="00ED0CF6">
        <w:rPr>
          <w:b/>
          <w:bCs/>
        </w:rPr>
        <w:t>Introduction</w:t>
      </w:r>
      <w:bookmarkEnd w:id="1"/>
      <w:r w:rsidR="009F3300" w:rsidRPr="00ED0CF6">
        <w:rPr>
          <w:b/>
          <w:bCs/>
        </w:rPr>
        <w:t xml:space="preserve"> </w:t>
      </w:r>
    </w:p>
    <w:p w14:paraId="6098E14C" w14:textId="2BFBA38F" w:rsidR="00AF6F25" w:rsidRDefault="00AF6F25" w:rsidP="00C75D53">
      <w:pPr>
        <w:spacing w:beforeLines="240" w:before="576" w:after="0"/>
        <w:contextualSpacing/>
        <w:rPr>
          <w:rFonts w:cs="Times New Roman"/>
          <w:sz w:val="22"/>
          <w:szCs w:val="22"/>
        </w:rPr>
      </w:pPr>
      <w:r w:rsidRPr="00C75D53">
        <w:rPr>
          <w:rFonts w:cs="Times New Roman"/>
          <w:sz w:val="22"/>
          <w:szCs w:val="22"/>
        </w:rPr>
        <w:t>Just Eat Takeaway (JET) is a market leader in the UK food delivery sector. By 2021, the brand controlled 45% of the food delivery market (</w:t>
      </w:r>
      <w:r w:rsidR="0069455A" w:rsidRPr="00C75D53">
        <w:rPr>
          <w:rFonts w:cs="Times New Roman"/>
          <w:sz w:val="22"/>
          <w:szCs w:val="22"/>
        </w:rPr>
        <w:t>Edison Trends, 2021</w:t>
      </w:r>
      <w:r w:rsidRPr="00C75D53">
        <w:rPr>
          <w:rFonts w:cs="Times New Roman"/>
          <w:sz w:val="22"/>
          <w:szCs w:val="22"/>
        </w:rPr>
        <w:t>). With that important information in mind, this research will conduct a data-driven analysis to delve deeper into JET's performance in order to assess its suitability for future investment.</w:t>
      </w:r>
    </w:p>
    <w:p w14:paraId="5922FC82" w14:textId="77777777" w:rsidR="00F13719" w:rsidRPr="00C75D53" w:rsidRDefault="00F13719" w:rsidP="00C75D53">
      <w:pPr>
        <w:spacing w:beforeLines="240" w:before="576" w:after="0"/>
        <w:contextualSpacing/>
        <w:rPr>
          <w:rFonts w:cs="Times New Roman"/>
          <w:sz w:val="22"/>
          <w:szCs w:val="22"/>
        </w:rPr>
      </w:pPr>
    </w:p>
    <w:p w14:paraId="6E125AF9" w14:textId="756712DA" w:rsidR="000340FB" w:rsidRPr="00C75D53" w:rsidRDefault="00AF6F25" w:rsidP="00C75D53">
      <w:pPr>
        <w:spacing w:beforeLines="240" w:before="576" w:after="0"/>
        <w:contextualSpacing/>
        <w:rPr>
          <w:rFonts w:cs="Times New Roman"/>
          <w:sz w:val="22"/>
          <w:szCs w:val="22"/>
        </w:rPr>
      </w:pPr>
      <w:r w:rsidRPr="00C75D53">
        <w:rPr>
          <w:rFonts w:cs="Times New Roman"/>
          <w:sz w:val="22"/>
          <w:szCs w:val="22"/>
        </w:rPr>
        <w:t xml:space="preserve">The first section of the research will conduct a technical analysis of JET and its primary competitor on the stock market using historical data collected from the 2nd of March 2020 to the 28th of February 2022. To begin, a descriptive analysis will be performed to evaluate the stock results and volatility of JET, its competitor, and the market index (FTSE). </w:t>
      </w:r>
      <w:r w:rsidR="00381FFD" w:rsidRPr="00C75D53">
        <w:rPr>
          <w:rFonts w:cs="Times New Roman"/>
          <w:sz w:val="22"/>
          <w:szCs w:val="22"/>
        </w:rPr>
        <w:t xml:space="preserve">Following that, a correlation and regression analysis of these companies' stock prices will be provided to investigate their impact on one another. Finally, the report will use time series analysis with the implementation of several techniques such as the moving average, single exponential smoothing, holt's winter, and so on to forecast JET future stocks and select the most appropriate technique to aid investors' decisions. Meanwhile, the second part will include a fundamental analysis of JET's financial statements and strategic report from 2019 to 2021. Finally, the outcomes of these two parts will be compiled and contrasted in order to make recommendations to investors. </w:t>
      </w:r>
    </w:p>
    <w:p w14:paraId="5422B44B" w14:textId="2874684B" w:rsidR="00EC50F0" w:rsidRPr="00ED0CF6" w:rsidRDefault="00EC50F0" w:rsidP="00C75D53">
      <w:pPr>
        <w:pStyle w:val="Heading1"/>
        <w:numPr>
          <w:ilvl w:val="0"/>
          <w:numId w:val="8"/>
        </w:numPr>
        <w:rPr>
          <w:b/>
          <w:bCs/>
        </w:rPr>
      </w:pPr>
      <w:bookmarkStart w:id="2" w:name="_Toc134147576"/>
      <w:r w:rsidRPr="00ED0CF6">
        <w:rPr>
          <w:b/>
          <w:bCs/>
        </w:rPr>
        <w:lastRenderedPageBreak/>
        <w:t>Technical Analysis of Stock Market</w:t>
      </w:r>
      <w:bookmarkEnd w:id="2"/>
      <w:r w:rsidR="0082250E" w:rsidRPr="00ED0CF6">
        <w:rPr>
          <w:b/>
          <w:bCs/>
        </w:rPr>
        <w:t xml:space="preserve"> </w:t>
      </w:r>
    </w:p>
    <w:p w14:paraId="0501F67D" w14:textId="70D3C0ED" w:rsidR="00C92AD0" w:rsidRPr="00C75D53" w:rsidRDefault="00C92AD0" w:rsidP="00C75D53">
      <w:pPr>
        <w:spacing w:beforeLines="240" w:before="576" w:after="0"/>
        <w:contextualSpacing/>
        <w:rPr>
          <w:rFonts w:cs="Times New Roman"/>
          <w:sz w:val="22"/>
          <w:szCs w:val="22"/>
          <w:lang w:val="en-US"/>
        </w:rPr>
      </w:pPr>
      <w:r w:rsidRPr="00C75D53">
        <w:rPr>
          <w:rFonts w:cs="Times New Roman"/>
          <w:sz w:val="22"/>
          <w:szCs w:val="22"/>
          <w:lang w:val="en-US"/>
        </w:rPr>
        <w:t>JET direct competitors in the UK’s online food delivery market are Uber Eats and Deliveroo; however, Uber Eats is not listed in London market whilst Deliveroo historical data in the market is only shown from the 31</w:t>
      </w:r>
      <w:r w:rsidRPr="00C75D53">
        <w:rPr>
          <w:rFonts w:cs="Times New Roman"/>
          <w:sz w:val="22"/>
          <w:szCs w:val="22"/>
          <w:vertAlign w:val="superscript"/>
          <w:lang w:val="en-US"/>
        </w:rPr>
        <w:t>st</w:t>
      </w:r>
      <w:r w:rsidRPr="00C75D53">
        <w:rPr>
          <w:rFonts w:cs="Times New Roman"/>
          <w:sz w:val="22"/>
          <w:szCs w:val="22"/>
          <w:lang w:val="en-US"/>
        </w:rPr>
        <w:t xml:space="preserve"> of March 2021 (Appendix 1). </w:t>
      </w:r>
      <w:r w:rsidR="00F264F7" w:rsidRPr="00C75D53">
        <w:rPr>
          <w:rFonts w:cs="Times New Roman"/>
          <w:sz w:val="22"/>
          <w:szCs w:val="22"/>
          <w:lang w:val="en-US"/>
        </w:rPr>
        <w:t xml:space="preserve">Therefore, an alternative in a similar grocery delivery market is chosen in this report namely OCADO (OCA) listed as OCDO.L in London market. </w:t>
      </w:r>
    </w:p>
    <w:p w14:paraId="2D45DCD1" w14:textId="4758195B" w:rsidR="00341EA0" w:rsidRPr="00ED0CF6" w:rsidRDefault="0005392A" w:rsidP="00ED0CF6">
      <w:pPr>
        <w:pStyle w:val="Heading2"/>
        <w:numPr>
          <w:ilvl w:val="0"/>
          <w:numId w:val="11"/>
        </w:numPr>
      </w:pPr>
      <w:bookmarkStart w:id="3" w:name="_Toc134147577"/>
      <w:r w:rsidRPr="00ED0CF6">
        <w:t>Descriptive Anal</w:t>
      </w:r>
      <w:r w:rsidR="001F379E" w:rsidRPr="00ED0CF6">
        <w:t>ysis</w:t>
      </w:r>
      <w:bookmarkEnd w:id="3"/>
    </w:p>
    <w:p w14:paraId="2856DB63" w14:textId="2FD98955" w:rsidR="00B54A13" w:rsidRPr="00C75D53" w:rsidRDefault="00142C8A" w:rsidP="00ED0CF6">
      <w:pPr>
        <w:pStyle w:val="Heading3"/>
        <w:numPr>
          <w:ilvl w:val="0"/>
          <w:numId w:val="12"/>
        </w:numPr>
        <w:rPr>
          <w:lang w:val="en-US"/>
        </w:rPr>
      </w:pPr>
      <w:bookmarkStart w:id="4" w:name="_Toc134147578"/>
      <w:r w:rsidRPr="00C75D53">
        <w:rPr>
          <w:lang w:val="en-US"/>
        </w:rPr>
        <w:t>Stock prices:</w:t>
      </w:r>
      <w:bookmarkEnd w:id="4"/>
      <w:r w:rsidRPr="00C75D53">
        <w:rPr>
          <w:lang w:val="en-US"/>
        </w:rPr>
        <w:t xml:space="preserve"> </w:t>
      </w:r>
    </w:p>
    <w:p w14:paraId="34212E30" w14:textId="25C80E97" w:rsidR="00FD741B" w:rsidRPr="00C75D53" w:rsidRDefault="00FD741B" w:rsidP="00C75D53">
      <w:pPr>
        <w:spacing w:beforeLines="240" w:before="576" w:after="0"/>
        <w:rPr>
          <w:rFonts w:cs="Times New Roman"/>
          <w:sz w:val="22"/>
          <w:szCs w:val="22"/>
          <w:lang w:val="en-US"/>
        </w:rPr>
      </w:pPr>
      <w:r w:rsidRPr="00C75D53">
        <w:rPr>
          <w:rFonts w:cs="Times New Roman"/>
          <w:noProof/>
          <w:sz w:val="22"/>
          <w:szCs w:val="22"/>
        </w:rPr>
        <w:drawing>
          <wp:inline distT="0" distB="0" distL="0" distR="0" wp14:anchorId="06E48469" wp14:editId="175C1581">
            <wp:extent cx="5727700" cy="3576955"/>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576955"/>
                    </a:xfrm>
                    <a:prstGeom prst="rect">
                      <a:avLst/>
                    </a:prstGeom>
                    <a:noFill/>
                    <a:ln>
                      <a:noFill/>
                    </a:ln>
                  </pic:spPr>
                </pic:pic>
              </a:graphicData>
            </a:graphic>
          </wp:inline>
        </w:drawing>
      </w:r>
    </w:p>
    <w:p w14:paraId="4BDA6BBF" w14:textId="228CDE36" w:rsidR="00FD741B" w:rsidRPr="00C75D53" w:rsidRDefault="00FD741B" w:rsidP="00C75D53">
      <w:pPr>
        <w:spacing w:beforeLines="240" w:before="576" w:after="0"/>
        <w:ind w:left="2160" w:firstLine="720"/>
        <w:rPr>
          <w:rFonts w:cs="Times New Roman"/>
          <w:i/>
          <w:iCs/>
          <w:sz w:val="22"/>
          <w:szCs w:val="22"/>
          <w:lang w:val="en-US"/>
        </w:rPr>
      </w:pPr>
      <w:r w:rsidRPr="00C75D53">
        <w:rPr>
          <w:rFonts w:cs="Times New Roman"/>
          <w:i/>
          <w:iCs/>
          <w:sz w:val="22"/>
          <w:szCs w:val="22"/>
          <w:lang w:val="en-US"/>
        </w:rPr>
        <w:t>Figure 1: JET, OCA and FTSE stock prices</w:t>
      </w:r>
    </w:p>
    <w:p w14:paraId="3283B73C" w14:textId="154339BF" w:rsidR="005D34D9" w:rsidRPr="00C75D53" w:rsidRDefault="00142C8A" w:rsidP="00C75D53">
      <w:pPr>
        <w:spacing w:beforeLines="240" w:before="576" w:after="0"/>
        <w:contextualSpacing/>
        <w:rPr>
          <w:rFonts w:cs="Times New Roman"/>
          <w:sz w:val="22"/>
          <w:szCs w:val="22"/>
          <w:lang w:val="en-US"/>
        </w:rPr>
      </w:pPr>
      <w:r w:rsidRPr="00C75D53">
        <w:rPr>
          <w:rFonts w:cs="Times New Roman"/>
          <w:noProof/>
          <w:sz w:val="22"/>
          <w:szCs w:val="22"/>
        </w:rPr>
        <w:lastRenderedPageBreak/>
        <w:drawing>
          <wp:inline distT="0" distB="0" distL="0" distR="0" wp14:anchorId="54C9A995" wp14:editId="2D874FCC">
            <wp:extent cx="5727700" cy="361886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618865"/>
                    </a:xfrm>
                    <a:prstGeom prst="rect">
                      <a:avLst/>
                    </a:prstGeom>
                    <a:noFill/>
                    <a:ln>
                      <a:noFill/>
                    </a:ln>
                  </pic:spPr>
                </pic:pic>
              </a:graphicData>
            </a:graphic>
          </wp:inline>
        </w:drawing>
      </w:r>
    </w:p>
    <w:p w14:paraId="315FD8DC" w14:textId="4F64FC29" w:rsidR="00142C8A" w:rsidRPr="00C75D53" w:rsidRDefault="00142C8A" w:rsidP="00C75D53">
      <w:pPr>
        <w:pStyle w:val="Caption"/>
        <w:spacing w:beforeLines="240" w:before="576" w:after="0"/>
        <w:ind w:left="2880"/>
        <w:contextualSpacing/>
        <w:rPr>
          <w:rFonts w:cs="Times New Roman"/>
          <w:color w:val="auto"/>
          <w:sz w:val="22"/>
          <w:szCs w:val="22"/>
        </w:rPr>
      </w:pPr>
      <w:r w:rsidRPr="00C75D53">
        <w:rPr>
          <w:rFonts w:cs="Times New Roman"/>
          <w:color w:val="auto"/>
          <w:sz w:val="22"/>
          <w:szCs w:val="22"/>
        </w:rPr>
        <w:t xml:space="preserve">Figure </w:t>
      </w:r>
      <w:r w:rsidR="00FD741B" w:rsidRPr="00C75D53">
        <w:rPr>
          <w:rFonts w:cs="Times New Roman"/>
          <w:color w:val="auto"/>
          <w:sz w:val="22"/>
          <w:szCs w:val="22"/>
        </w:rPr>
        <w:t>2</w:t>
      </w:r>
      <w:r w:rsidR="00A23307" w:rsidRPr="00C75D53">
        <w:rPr>
          <w:rFonts w:cs="Times New Roman"/>
          <w:color w:val="auto"/>
          <w:sz w:val="22"/>
          <w:szCs w:val="22"/>
        </w:rPr>
        <w:t xml:space="preserve">: </w:t>
      </w:r>
      <w:r w:rsidRPr="00C75D53">
        <w:rPr>
          <w:rFonts w:cs="Times New Roman"/>
          <w:color w:val="auto"/>
          <w:sz w:val="22"/>
          <w:szCs w:val="22"/>
        </w:rPr>
        <w:t>Modified Stock Prices</w:t>
      </w:r>
    </w:p>
    <w:p w14:paraId="40A7FB6C" w14:textId="3E2F5528" w:rsidR="00B54A13" w:rsidRPr="00C75D53" w:rsidRDefault="00AF6F25" w:rsidP="00C75D53">
      <w:pPr>
        <w:spacing w:beforeLines="240" w:before="576" w:after="0"/>
        <w:contextualSpacing/>
        <w:rPr>
          <w:rFonts w:cs="Times New Roman"/>
          <w:sz w:val="22"/>
          <w:szCs w:val="22"/>
          <w:lang w:val="en-US"/>
        </w:rPr>
      </w:pPr>
      <w:r w:rsidRPr="00C75D53">
        <w:rPr>
          <w:rFonts w:cs="Times New Roman"/>
          <w:i/>
          <w:iCs/>
          <w:sz w:val="22"/>
          <w:szCs w:val="22"/>
          <w:lang w:val="en-US"/>
        </w:rPr>
        <w:t>Figure 1</w:t>
      </w:r>
      <w:r w:rsidRPr="00C75D53">
        <w:rPr>
          <w:rFonts w:cs="Times New Roman"/>
          <w:sz w:val="22"/>
          <w:szCs w:val="22"/>
          <w:lang w:val="en-US"/>
        </w:rPr>
        <w:t xml:space="preserve"> depicts the JET, OCA, and FTSE index stock price adjustments from March 2020 to February 2022. Because there is a significant difference between the original stock prices of JET, FTSE, and OCA, this report has modified the prices of JET and FTSE by dividing them by 5, as shown in </w:t>
      </w:r>
      <w:r w:rsidRPr="00C75D53">
        <w:rPr>
          <w:rFonts w:cs="Times New Roman"/>
          <w:i/>
          <w:iCs/>
          <w:sz w:val="22"/>
          <w:szCs w:val="22"/>
          <w:lang w:val="en-US"/>
        </w:rPr>
        <w:t>figure 2</w:t>
      </w:r>
      <w:r w:rsidRPr="00C75D53">
        <w:rPr>
          <w:rFonts w:cs="Times New Roman"/>
          <w:sz w:val="22"/>
          <w:szCs w:val="22"/>
          <w:lang w:val="en-US"/>
        </w:rPr>
        <w:t xml:space="preserve">. In particular, the FTSE index's price followed an increasing trend and was the most constant throughout the period, whilst the prices of JET and OCA both experienced considerable shifts. These tendencies are explained by the figures in figure 3, which show that the standard deviation of the FTSE price was 0.0143, which is substantially lower than the standard deviations of JET and OCA. </w:t>
      </w:r>
      <w:r w:rsidR="00987652" w:rsidRPr="00C75D53">
        <w:rPr>
          <w:rFonts w:cs="Times New Roman"/>
          <w:sz w:val="22"/>
          <w:szCs w:val="22"/>
          <w:lang w:val="en-US"/>
        </w:rPr>
        <w:t xml:space="preserve">In regards to this, standard deviation </w:t>
      </w:r>
      <w:r w:rsidRPr="00C75D53">
        <w:rPr>
          <w:rFonts w:cs="Times New Roman"/>
          <w:sz w:val="22"/>
          <w:szCs w:val="22"/>
          <w:lang w:val="en-US"/>
        </w:rPr>
        <w:t>measures the spread of dataset’s results from its mean</w:t>
      </w:r>
      <w:r w:rsidR="009D070B" w:rsidRPr="00C75D53">
        <w:rPr>
          <w:rFonts w:cs="Times New Roman"/>
          <w:sz w:val="22"/>
          <w:szCs w:val="22"/>
          <w:lang w:val="en-US"/>
        </w:rPr>
        <w:t xml:space="preserve"> (</w:t>
      </w:r>
      <w:r w:rsidR="009D070B" w:rsidRPr="00C75D53">
        <w:rPr>
          <w:rFonts w:cs="Times New Roman"/>
          <w:sz w:val="22"/>
          <w:szCs w:val="22"/>
        </w:rPr>
        <w:t>Andrade, 2020</w:t>
      </w:r>
      <w:r w:rsidR="009D070B" w:rsidRPr="00C75D53">
        <w:rPr>
          <w:rFonts w:cs="Times New Roman"/>
          <w:sz w:val="22"/>
          <w:szCs w:val="22"/>
          <w:lang w:val="en-US"/>
        </w:rPr>
        <w:t>)</w:t>
      </w:r>
      <w:r w:rsidRPr="00C75D53">
        <w:rPr>
          <w:rFonts w:cs="Times New Roman"/>
          <w:sz w:val="22"/>
          <w:szCs w:val="22"/>
          <w:lang w:val="en-US"/>
        </w:rPr>
        <w:t xml:space="preserve">. </w:t>
      </w:r>
      <w:r w:rsidR="00987652" w:rsidRPr="00C75D53">
        <w:rPr>
          <w:rFonts w:cs="Times New Roman"/>
          <w:sz w:val="22"/>
          <w:szCs w:val="22"/>
          <w:lang w:val="en-US"/>
        </w:rPr>
        <w:t>Thus</w:t>
      </w:r>
      <w:r w:rsidRPr="00C75D53">
        <w:rPr>
          <w:rFonts w:cs="Times New Roman"/>
          <w:sz w:val="22"/>
          <w:szCs w:val="22"/>
          <w:lang w:val="en-US"/>
        </w:rPr>
        <w:t xml:space="preserve">, </w:t>
      </w:r>
      <w:r w:rsidR="00987652" w:rsidRPr="00C75D53">
        <w:rPr>
          <w:rFonts w:cs="Times New Roman"/>
          <w:sz w:val="22"/>
          <w:szCs w:val="22"/>
          <w:lang w:val="en-US"/>
        </w:rPr>
        <w:t>smaller standard deviation</w:t>
      </w:r>
      <w:r w:rsidRPr="00C75D53">
        <w:rPr>
          <w:rFonts w:cs="Times New Roman"/>
          <w:sz w:val="22"/>
          <w:szCs w:val="22"/>
          <w:lang w:val="en-US"/>
        </w:rPr>
        <w:t>s</w:t>
      </w:r>
      <w:r w:rsidR="00987652" w:rsidRPr="00C75D53">
        <w:rPr>
          <w:rFonts w:cs="Times New Roman"/>
          <w:sz w:val="22"/>
          <w:szCs w:val="22"/>
          <w:lang w:val="en-US"/>
        </w:rPr>
        <w:t xml:space="preserve"> indicate </w:t>
      </w:r>
      <w:r w:rsidRPr="00C75D53">
        <w:rPr>
          <w:rFonts w:cs="Times New Roman"/>
          <w:sz w:val="22"/>
          <w:szCs w:val="22"/>
          <w:lang w:val="en-US"/>
        </w:rPr>
        <w:t xml:space="preserve">a </w:t>
      </w:r>
      <w:r w:rsidR="00987652" w:rsidRPr="00C75D53">
        <w:rPr>
          <w:rFonts w:cs="Times New Roman"/>
          <w:sz w:val="22"/>
          <w:szCs w:val="22"/>
          <w:lang w:val="en-US"/>
        </w:rPr>
        <w:t xml:space="preserve">more stable performance of the statistics. </w:t>
      </w:r>
    </w:p>
    <w:p w14:paraId="7197460D" w14:textId="0B1D246D" w:rsidR="00B54A13" w:rsidRPr="00C75D53" w:rsidRDefault="00B54A13" w:rsidP="00C75D53">
      <w:pPr>
        <w:spacing w:beforeLines="240" w:before="576" w:after="0"/>
        <w:ind w:left="360"/>
        <w:rPr>
          <w:rFonts w:cs="Times New Roman"/>
          <w:sz w:val="22"/>
          <w:szCs w:val="22"/>
        </w:rPr>
      </w:pPr>
      <w:r w:rsidRPr="00C75D53">
        <w:rPr>
          <w:rFonts w:cs="Times New Roman"/>
          <w:noProof/>
          <w:sz w:val="22"/>
          <w:szCs w:val="22"/>
          <w:lang w:val="en-US"/>
        </w:rPr>
        <w:lastRenderedPageBreak/>
        <w:drawing>
          <wp:inline distT="0" distB="0" distL="0" distR="0" wp14:anchorId="780B1308" wp14:editId="15C8F4C4">
            <wp:extent cx="5727700" cy="2453005"/>
            <wp:effectExtent l="0" t="0" r="635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2453005"/>
                    </a:xfrm>
                    <a:prstGeom prst="rect">
                      <a:avLst/>
                    </a:prstGeom>
                  </pic:spPr>
                </pic:pic>
              </a:graphicData>
            </a:graphic>
          </wp:inline>
        </w:drawing>
      </w:r>
    </w:p>
    <w:p w14:paraId="0E44C2BC" w14:textId="25628119" w:rsidR="00B54A13" w:rsidRPr="00C75D53" w:rsidRDefault="00B54A13" w:rsidP="00C75D53">
      <w:pPr>
        <w:spacing w:beforeLines="240" w:before="576" w:after="0"/>
        <w:ind w:left="2520"/>
        <w:contextualSpacing/>
        <w:rPr>
          <w:rFonts w:cs="Times New Roman"/>
          <w:i/>
          <w:iCs/>
          <w:sz w:val="22"/>
          <w:szCs w:val="22"/>
          <w:lang w:val="en-US"/>
        </w:rPr>
      </w:pPr>
      <w:r w:rsidRPr="00C75D53">
        <w:rPr>
          <w:rFonts w:cs="Times New Roman"/>
          <w:i/>
          <w:iCs/>
          <w:sz w:val="22"/>
          <w:szCs w:val="22"/>
          <w:lang w:val="en-US"/>
        </w:rPr>
        <w:t xml:space="preserve">Figure </w:t>
      </w:r>
      <w:r w:rsidR="00B718C0" w:rsidRPr="00C75D53">
        <w:rPr>
          <w:rFonts w:cs="Times New Roman"/>
          <w:i/>
          <w:iCs/>
          <w:sz w:val="22"/>
          <w:szCs w:val="22"/>
          <w:lang w:val="en-US"/>
        </w:rPr>
        <w:t>3</w:t>
      </w:r>
      <w:r w:rsidRPr="00C75D53">
        <w:rPr>
          <w:rFonts w:cs="Times New Roman"/>
          <w:i/>
          <w:iCs/>
          <w:sz w:val="22"/>
          <w:szCs w:val="22"/>
          <w:lang w:val="en-US"/>
        </w:rPr>
        <w:t>: JET, OCA and FTSE statistics summary</w:t>
      </w:r>
    </w:p>
    <w:p w14:paraId="01C8C546" w14:textId="095650DF" w:rsidR="00B54A13" w:rsidRPr="00ED0CF6" w:rsidRDefault="00987652" w:rsidP="00ED0CF6">
      <w:pPr>
        <w:pStyle w:val="Heading3"/>
        <w:numPr>
          <w:ilvl w:val="0"/>
          <w:numId w:val="12"/>
        </w:numPr>
        <w:rPr>
          <w:lang w:val="en-US"/>
        </w:rPr>
      </w:pPr>
      <w:bookmarkStart w:id="5" w:name="_Toc134147579"/>
      <w:r w:rsidRPr="00ED0CF6">
        <w:rPr>
          <w:lang w:val="en-US"/>
        </w:rPr>
        <w:t>Stock returns:</w:t>
      </w:r>
      <w:bookmarkEnd w:id="5"/>
      <w:r w:rsidRPr="00ED0CF6">
        <w:rPr>
          <w:lang w:val="en-US"/>
        </w:rPr>
        <w:t xml:space="preserve"> </w:t>
      </w:r>
    </w:p>
    <w:p w14:paraId="54147F2E" w14:textId="79AB3938" w:rsidR="00142C8A" w:rsidRPr="00C75D53" w:rsidRDefault="00142C8A" w:rsidP="00C75D53">
      <w:pPr>
        <w:spacing w:beforeLines="240" w:before="576" w:after="0"/>
        <w:contextualSpacing/>
        <w:rPr>
          <w:rFonts w:cs="Times New Roman"/>
          <w:sz w:val="22"/>
          <w:szCs w:val="22"/>
          <w:lang w:val="en-US"/>
        </w:rPr>
      </w:pPr>
      <w:r w:rsidRPr="00C75D53">
        <w:rPr>
          <w:rFonts w:cs="Times New Roman"/>
          <w:noProof/>
          <w:sz w:val="22"/>
          <w:szCs w:val="22"/>
        </w:rPr>
        <w:drawing>
          <wp:inline distT="0" distB="0" distL="0" distR="0" wp14:anchorId="0B8F491B" wp14:editId="3BEE9D90">
            <wp:extent cx="5727700" cy="35890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589020"/>
                    </a:xfrm>
                    <a:prstGeom prst="rect">
                      <a:avLst/>
                    </a:prstGeom>
                    <a:noFill/>
                    <a:ln>
                      <a:noFill/>
                    </a:ln>
                  </pic:spPr>
                </pic:pic>
              </a:graphicData>
            </a:graphic>
          </wp:inline>
        </w:drawing>
      </w:r>
    </w:p>
    <w:p w14:paraId="0D6D54F0" w14:textId="36603076" w:rsidR="005627C5" w:rsidRPr="00C75D53" w:rsidRDefault="00987652" w:rsidP="00C75D53">
      <w:pPr>
        <w:spacing w:beforeLines="240" w:before="576" w:after="0"/>
        <w:ind w:left="2160" w:firstLine="720"/>
        <w:contextualSpacing/>
        <w:rPr>
          <w:rFonts w:cs="Times New Roman"/>
          <w:i/>
          <w:iCs/>
          <w:sz w:val="22"/>
          <w:szCs w:val="22"/>
          <w:lang w:val="en-US"/>
        </w:rPr>
      </w:pPr>
      <w:r w:rsidRPr="00C75D53">
        <w:rPr>
          <w:rFonts w:cs="Times New Roman"/>
          <w:i/>
          <w:iCs/>
          <w:sz w:val="22"/>
          <w:szCs w:val="22"/>
          <w:lang w:val="en-US"/>
        </w:rPr>
        <w:t xml:space="preserve">Figure 4: JET, OCA and FTSE stock return </w:t>
      </w:r>
    </w:p>
    <w:p w14:paraId="033C9FBB" w14:textId="5FF3D321" w:rsidR="005627C5" w:rsidRPr="00C75D53" w:rsidRDefault="005627C5" w:rsidP="00C75D53">
      <w:pPr>
        <w:spacing w:beforeLines="240" w:before="576" w:after="0"/>
        <w:contextualSpacing/>
        <w:rPr>
          <w:rFonts w:cs="Times New Roman"/>
          <w:sz w:val="22"/>
          <w:szCs w:val="22"/>
          <w:lang w:val="en-US"/>
        </w:rPr>
      </w:pPr>
      <w:r w:rsidRPr="00C75D53">
        <w:rPr>
          <w:rFonts w:cs="Times New Roman"/>
          <w:sz w:val="22"/>
          <w:szCs w:val="22"/>
          <w:lang w:val="en-US"/>
        </w:rPr>
        <w:t xml:space="preserve">As could be seen in </w:t>
      </w:r>
      <w:r w:rsidRPr="00C75D53">
        <w:rPr>
          <w:rFonts w:cs="Times New Roman"/>
          <w:i/>
          <w:iCs/>
          <w:sz w:val="22"/>
          <w:szCs w:val="22"/>
          <w:lang w:val="en-US"/>
        </w:rPr>
        <w:t>figure 4</w:t>
      </w:r>
      <w:r w:rsidRPr="00C75D53">
        <w:rPr>
          <w:rFonts w:cs="Times New Roman"/>
          <w:sz w:val="22"/>
          <w:szCs w:val="22"/>
          <w:lang w:val="en-US"/>
        </w:rPr>
        <w:t xml:space="preserve">, FTSE’s return was much more stable than the companies in the same period of time showing higher volatility of JET and OCA’s stocks. </w:t>
      </w:r>
    </w:p>
    <w:p w14:paraId="2C5CEEB5" w14:textId="76002E10" w:rsidR="00A50348" w:rsidRPr="00ED0CF6" w:rsidRDefault="00A50348" w:rsidP="00ED0CF6">
      <w:pPr>
        <w:pStyle w:val="Heading3"/>
        <w:numPr>
          <w:ilvl w:val="0"/>
          <w:numId w:val="12"/>
        </w:numPr>
        <w:rPr>
          <w:lang w:val="en-US"/>
        </w:rPr>
      </w:pPr>
      <w:bookmarkStart w:id="6" w:name="_Toc134147580"/>
      <w:r w:rsidRPr="00ED0CF6">
        <w:rPr>
          <w:lang w:val="en-US"/>
        </w:rPr>
        <w:t>JET returns analysis</w:t>
      </w:r>
      <w:r w:rsidR="002E42A6" w:rsidRPr="00ED0CF6">
        <w:rPr>
          <w:lang w:val="en-US"/>
        </w:rPr>
        <w:t xml:space="preserve"> using empirical rules</w:t>
      </w:r>
      <w:r w:rsidRPr="00ED0CF6">
        <w:rPr>
          <w:lang w:val="en-US"/>
        </w:rPr>
        <w:t>:</w:t>
      </w:r>
      <w:bookmarkEnd w:id="6"/>
      <w:r w:rsidRPr="00ED0CF6">
        <w:rPr>
          <w:lang w:val="en-US"/>
        </w:rPr>
        <w:t xml:space="preserve"> </w:t>
      </w:r>
    </w:p>
    <w:p w14:paraId="682404B8" w14:textId="77777777" w:rsidR="00A50348" w:rsidRPr="00C75D53" w:rsidRDefault="00A50348" w:rsidP="00C75D53">
      <w:pPr>
        <w:spacing w:beforeLines="240" w:before="576" w:after="0"/>
        <w:ind w:left="360"/>
        <w:contextualSpacing/>
        <w:rPr>
          <w:rFonts w:cs="Times New Roman"/>
          <w:sz w:val="22"/>
          <w:szCs w:val="22"/>
          <w:lang w:val="en-US"/>
        </w:rPr>
      </w:pPr>
    </w:p>
    <w:p w14:paraId="2A6D407A" w14:textId="043E6136" w:rsidR="00142C8A" w:rsidRPr="00C75D53" w:rsidRDefault="00A50348" w:rsidP="00C75D53">
      <w:pPr>
        <w:spacing w:beforeLines="240" w:before="576" w:after="0"/>
        <w:contextualSpacing/>
        <w:rPr>
          <w:rFonts w:cs="Times New Roman"/>
          <w:sz w:val="22"/>
          <w:szCs w:val="22"/>
          <w:lang w:val="en-US"/>
        </w:rPr>
      </w:pPr>
      <w:r w:rsidRPr="00C75D53">
        <w:rPr>
          <w:rFonts w:cs="Times New Roman"/>
          <w:noProof/>
          <w:sz w:val="22"/>
          <w:szCs w:val="22"/>
        </w:rPr>
        <w:lastRenderedPageBreak/>
        <w:drawing>
          <wp:inline distT="0" distB="0" distL="0" distR="0" wp14:anchorId="35574A74" wp14:editId="04819A21">
            <wp:extent cx="5727700" cy="358902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589020"/>
                    </a:xfrm>
                    <a:prstGeom prst="rect">
                      <a:avLst/>
                    </a:prstGeom>
                    <a:noFill/>
                    <a:ln>
                      <a:noFill/>
                    </a:ln>
                  </pic:spPr>
                </pic:pic>
              </a:graphicData>
            </a:graphic>
          </wp:inline>
        </w:drawing>
      </w:r>
    </w:p>
    <w:p w14:paraId="28931241" w14:textId="1F32CCDE" w:rsidR="00A50348" w:rsidRPr="00C75D53" w:rsidRDefault="00A50348" w:rsidP="00C75D53">
      <w:pPr>
        <w:spacing w:beforeLines="240" w:before="576" w:after="0"/>
        <w:ind w:left="2880" w:firstLine="720"/>
        <w:contextualSpacing/>
        <w:rPr>
          <w:rFonts w:cs="Times New Roman"/>
          <w:i/>
          <w:iCs/>
          <w:sz w:val="22"/>
          <w:szCs w:val="22"/>
          <w:lang w:val="en-US"/>
        </w:rPr>
      </w:pPr>
      <w:r w:rsidRPr="00C75D53">
        <w:rPr>
          <w:rFonts w:cs="Times New Roman"/>
          <w:i/>
          <w:iCs/>
          <w:sz w:val="22"/>
          <w:szCs w:val="22"/>
          <w:lang w:val="en-US"/>
        </w:rPr>
        <w:t xml:space="preserve">Figure </w:t>
      </w:r>
      <w:r w:rsidR="002E42A6" w:rsidRPr="00C75D53">
        <w:rPr>
          <w:rFonts w:cs="Times New Roman"/>
          <w:i/>
          <w:iCs/>
          <w:sz w:val="22"/>
          <w:szCs w:val="22"/>
          <w:lang w:val="en-US"/>
        </w:rPr>
        <w:t>5</w:t>
      </w:r>
      <w:r w:rsidRPr="00C75D53">
        <w:rPr>
          <w:rFonts w:cs="Times New Roman"/>
          <w:i/>
          <w:iCs/>
          <w:sz w:val="22"/>
          <w:szCs w:val="22"/>
          <w:lang w:val="en-US"/>
        </w:rPr>
        <w:t xml:space="preserve">: JET returns analysis </w:t>
      </w:r>
    </w:p>
    <w:p w14:paraId="40EF923A" w14:textId="0406A8D8" w:rsidR="007B1B28" w:rsidRPr="00C75D53" w:rsidRDefault="005627C5" w:rsidP="00C75D53">
      <w:pPr>
        <w:spacing w:beforeLines="240" w:before="576" w:after="0"/>
        <w:contextualSpacing/>
        <w:rPr>
          <w:rFonts w:cs="Times New Roman"/>
          <w:sz w:val="22"/>
          <w:szCs w:val="22"/>
          <w:lang w:val="en-US"/>
        </w:rPr>
      </w:pPr>
      <w:r w:rsidRPr="00C75D53">
        <w:rPr>
          <w:rFonts w:cs="Times New Roman"/>
          <w:sz w:val="22"/>
          <w:szCs w:val="22"/>
          <w:lang w:val="en-US"/>
        </w:rPr>
        <w:t xml:space="preserve">The empirical rule refers to </w:t>
      </w:r>
      <w:r w:rsidR="002E42A6" w:rsidRPr="00C75D53">
        <w:rPr>
          <w:rFonts w:cs="Times New Roman"/>
          <w:sz w:val="22"/>
          <w:szCs w:val="22"/>
          <w:lang w:val="en-US"/>
        </w:rPr>
        <w:t>the observation of data within three standard deviation ranges of the mean so as to make forecast on the distribution of the studied outcomes</w:t>
      </w:r>
      <w:r w:rsidR="007B1B28" w:rsidRPr="00C75D53">
        <w:rPr>
          <w:rFonts w:cs="Times New Roman"/>
          <w:sz w:val="22"/>
          <w:szCs w:val="22"/>
          <w:lang w:val="en-US"/>
        </w:rPr>
        <w:t xml:space="preserve"> (</w:t>
      </w:r>
      <w:r w:rsidR="005C3136" w:rsidRPr="00C75D53">
        <w:rPr>
          <w:rFonts w:cs="Times New Roman"/>
          <w:sz w:val="22"/>
          <w:szCs w:val="22"/>
        </w:rPr>
        <w:t>Hayes, 2022)</w:t>
      </w:r>
      <w:r w:rsidR="002E42A6" w:rsidRPr="00C75D53">
        <w:rPr>
          <w:rFonts w:cs="Times New Roman"/>
          <w:sz w:val="22"/>
          <w:szCs w:val="22"/>
          <w:lang w:val="en-US"/>
        </w:rPr>
        <w:t>. To be specific, it is implied that 68% of data will fall within one single standard deviation of the mean</w:t>
      </w:r>
      <w:r w:rsidR="004D773F" w:rsidRPr="00C75D53">
        <w:rPr>
          <w:rFonts w:cs="Times New Roman"/>
          <w:sz w:val="22"/>
          <w:szCs w:val="22"/>
          <w:lang w:val="en-US"/>
        </w:rPr>
        <w:t xml:space="preserve"> (</w:t>
      </w:r>
      <w:r w:rsidR="004D773F" w:rsidRPr="00C75D53">
        <w:rPr>
          <w:rFonts w:cs="Times New Roman"/>
          <w:sz w:val="22"/>
          <w:szCs w:val="22"/>
        </w:rPr>
        <w:t>x̅ </w:t>
      </w:r>
      <w:r w:rsidR="004D773F" w:rsidRPr="00C75D53">
        <w:rPr>
          <w:rFonts w:cs="Times New Roman"/>
          <w:sz w:val="22"/>
          <w:szCs w:val="22"/>
          <w:lang w:val="en-US"/>
        </w:rPr>
        <w:t>± s)</w:t>
      </w:r>
      <w:r w:rsidR="002E42A6" w:rsidRPr="00C75D53">
        <w:rPr>
          <w:rFonts w:cs="Times New Roman"/>
          <w:sz w:val="22"/>
          <w:szCs w:val="22"/>
          <w:lang w:val="en-US"/>
        </w:rPr>
        <w:t xml:space="preserve">, the </w:t>
      </w:r>
      <w:r w:rsidR="00FA52A5" w:rsidRPr="00C75D53">
        <w:rPr>
          <w:rFonts w:cs="Times New Roman"/>
          <w:sz w:val="22"/>
          <w:szCs w:val="22"/>
          <w:lang w:val="en-US"/>
        </w:rPr>
        <w:t>ratios</w:t>
      </w:r>
      <w:r w:rsidR="002E42A6" w:rsidRPr="00C75D53">
        <w:rPr>
          <w:rFonts w:cs="Times New Roman"/>
          <w:sz w:val="22"/>
          <w:szCs w:val="22"/>
          <w:lang w:val="en-US"/>
        </w:rPr>
        <w:t xml:space="preserve"> are 95% for two standard deviation range</w:t>
      </w:r>
      <w:r w:rsidR="004D773F" w:rsidRPr="00C75D53">
        <w:rPr>
          <w:rFonts w:cs="Times New Roman"/>
          <w:sz w:val="22"/>
          <w:szCs w:val="22"/>
          <w:lang w:val="en-US"/>
        </w:rPr>
        <w:t xml:space="preserve"> (</w:t>
      </w:r>
      <w:r w:rsidR="004D773F" w:rsidRPr="00C75D53">
        <w:rPr>
          <w:rFonts w:cs="Times New Roman"/>
          <w:sz w:val="22"/>
          <w:szCs w:val="22"/>
        </w:rPr>
        <w:t>x̅ </w:t>
      </w:r>
      <w:r w:rsidR="004D773F" w:rsidRPr="00C75D53">
        <w:rPr>
          <w:rFonts w:cs="Times New Roman"/>
          <w:sz w:val="22"/>
          <w:szCs w:val="22"/>
          <w:lang w:val="en-US"/>
        </w:rPr>
        <w:t>± 2s)</w:t>
      </w:r>
      <w:r w:rsidR="002E42A6" w:rsidRPr="00C75D53">
        <w:rPr>
          <w:rFonts w:cs="Times New Roman"/>
          <w:sz w:val="22"/>
          <w:szCs w:val="22"/>
          <w:lang w:val="en-US"/>
        </w:rPr>
        <w:t xml:space="preserve"> and 99.7% for three standard deviation range</w:t>
      </w:r>
      <w:r w:rsidR="004D773F" w:rsidRPr="00C75D53">
        <w:rPr>
          <w:rFonts w:cs="Times New Roman"/>
          <w:sz w:val="22"/>
          <w:szCs w:val="22"/>
          <w:lang w:val="en-US"/>
        </w:rPr>
        <w:t xml:space="preserve"> (</w:t>
      </w:r>
      <w:r w:rsidR="004D773F" w:rsidRPr="00C75D53">
        <w:rPr>
          <w:rFonts w:cs="Times New Roman"/>
          <w:sz w:val="22"/>
          <w:szCs w:val="22"/>
        </w:rPr>
        <w:t>x̅ </w:t>
      </w:r>
      <w:r w:rsidR="004D773F" w:rsidRPr="00C75D53">
        <w:rPr>
          <w:rFonts w:cs="Times New Roman"/>
          <w:sz w:val="22"/>
          <w:szCs w:val="22"/>
          <w:lang w:val="en-US"/>
        </w:rPr>
        <w:t>± 3s)</w:t>
      </w:r>
      <w:r w:rsidR="002E42A6" w:rsidRPr="00C75D53">
        <w:rPr>
          <w:rFonts w:cs="Times New Roman"/>
          <w:sz w:val="22"/>
          <w:szCs w:val="22"/>
          <w:lang w:val="en-US"/>
        </w:rPr>
        <w:t>, respectively</w:t>
      </w:r>
      <w:r w:rsidR="007B1B28" w:rsidRPr="00C75D53">
        <w:rPr>
          <w:rFonts w:cs="Times New Roman"/>
          <w:sz w:val="22"/>
          <w:szCs w:val="22"/>
          <w:lang w:val="en-US"/>
        </w:rPr>
        <w:t xml:space="preserve"> (</w:t>
      </w:r>
      <w:r w:rsidR="005C3136" w:rsidRPr="00C75D53">
        <w:rPr>
          <w:rFonts w:cs="Times New Roman"/>
          <w:sz w:val="22"/>
          <w:szCs w:val="22"/>
        </w:rPr>
        <w:t>Frost, n.d.)</w:t>
      </w:r>
      <w:r w:rsidR="002E42A6" w:rsidRPr="00C75D53">
        <w:rPr>
          <w:rFonts w:cs="Times New Roman"/>
          <w:sz w:val="22"/>
          <w:szCs w:val="22"/>
          <w:lang w:val="en-US"/>
        </w:rPr>
        <w:t xml:space="preserve">. As shown in </w:t>
      </w:r>
      <w:r w:rsidR="002E42A6" w:rsidRPr="00C75D53">
        <w:rPr>
          <w:rFonts w:cs="Times New Roman"/>
          <w:i/>
          <w:iCs/>
          <w:sz w:val="22"/>
          <w:szCs w:val="22"/>
          <w:lang w:val="en-US"/>
        </w:rPr>
        <w:t>figure 5</w:t>
      </w:r>
      <w:r w:rsidR="002E42A6" w:rsidRPr="00C75D53">
        <w:rPr>
          <w:rFonts w:cs="Times New Roman"/>
          <w:sz w:val="22"/>
          <w:szCs w:val="22"/>
          <w:lang w:val="en-US"/>
        </w:rPr>
        <w:t>, this report applied 2x standard deviation range to examine JET’s return</w:t>
      </w:r>
      <w:r w:rsidR="004D773F" w:rsidRPr="00C75D53">
        <w:rPr>
          <w:rFonts w:cs="Times New Roman"/>
          <w:sz w:val="22"/>
          <w:szCs w:val="22"/>
          <w:lang w:val="en-US"/>
        </w:rPr>
        <w:t>. The result demonstrates that JET stock’s returns are mostly distributed within the range around the mean of zero. However, there are also outli</w:t>
      </w:r>
      <w:r w:rsidR="00FA52A5" w:rsidRPr="00C75D53">
        <w:rPr>
          <w:rFonts w:cs="Times New Roman"/>
          <w:sz w:val="22"/>
          <w:szCs w:val="22"/>
          <w:lang w:val="en-US"/>
        </w:rPr>
        <w:t>ers</w:t>
      </w:r>
      <w:r w:rsidR="002E42A6" w:rsidRPr="00C75D53">
        <w:rPr>
          <w:rFonts w:cs="Times New Roman"/>
          <w:sz w:val="22"/>
          <w:szCs w:val="22"/>
          <w:lang w:val="en-US"/>
        </w:rPr>
        <w:t xml:space="preserve"> </w:t>
      </w:r>
      <w:r w:rsidR="00FA52A5" w:rsidRPr="00C75D53">
        <w:rPr>
          <w:rFonts w:cs="Times New Roman"/>
          <w:sz w:val="22"/>
          <w:szCs w:val="22"/>
          <w:lang w:val="en-US"/>
        </w:rPr>
        <w:t>which reducing the accuracy of predictions and increasing risks of the stock</w:t>
      </w:r>
      <w:r w:rsidR="007B1B28" w:rsidRPr="00C75D53">
        <w:rPr>
          <w:rFonts w:cs="Times New Roman"/>
          <w:sz w:val="22"/>
          <w:szCs w:val="22"/>
          <w:lang w:val="en-US"/>
        </w:rPr>
        <w:t xml:space="preserve"> (</w:t>
      </w:r>
      <w:r w:rsidR="005C3136" w:rsidRPr="00C75D53">
        <w:rPr>
          <w:rFonts w:cs="Times New Roman"/>
          <w:sz w:val="22"/>
          <w:szCs w:val="22"/>
        </w:rPr>
        <w:t>Freeman, 1995</w:t>
      </w:r>
      <w:r w:rsidR="007B1B28" w:rsidRPr="00C75D53">
        <w:rPr>
          <w:rFonts w:cs="Times New Roman"/>
          <w:sz w:val="22"/>
          <w:szCs w:val="22"/>
          <w:lang w:val="en-US"/>
        </w:rPr>
        <w:t>)</w:t>
      </w:r>
      <w:r w:rsidR="00FA52A5" w:rsidRPr="00C75D53">
        <w:rPr>
          <w:rFonts w:cs="Times New Roman"/>
          <w:sz w:val="22"/>
          <w:szCs w:val="22"/>
          <w:lang w:val="en-US"/>
        </w:rPr>
        <w:t>. These outliers show that there are points that the company stock’s return go beyond and below the 2x standard deviation of ± 0.05; its lowest point is</w:t>
      </w:r>
      <w:r w:rsidR="005A5B8D" w:rsidRPr="00C75D53">
        <w:rPr>
          <w:rFonts w:cs="Times New Roman"/>
          <w:sz w:val="22"/>
          <w:szCs w:val="22"/>
          <w:lang w:val="en-US"/>
        </w:rPr>
        <w:t xml:space="preserve"> -</w:t>
      </w:r>
      <w:r w:rsidR="00FA52A5" w:rsidRPr="00C75D53">
        <w:rPr>
          <w:rFonts w:cs="Times New Roman"/>
          <w:sz w:val="22"/>
          <w:szCs w:val="22"/>
        </w:rPr>
        <w:t>0.130841 on the 10</w:t>
      </w:r>
      <w:r w:rsidR="00FA52A5" w:rsidRPr="00C75D53">
        <w:rPr>
          <w:rFonts w:cs="Times New Roman"/>
          <w:sz w:val="22"/>
          <w:szCs w:val="22"/>
          <w:vertAlign w:val="superscript"/>
        </w:rPr>
        <w:t>th</w:t>
      </w:r>
      <w:r w:rsidR="00FA52A5" w:rsidRPr="00C75D53">
        <w:rPr>
          <w:rFonts w:cs="Times New Roman"/>
          <w:sz w:val="22"/>
          <w:szCs w:val="22"/>
        </w:rPr>
        <w:t xml:space="preserve"> of June 2020.</w:t>
      </w:r>
      <w:r w:rsidR="005A5B8D" w:rsidRPr="00C75D53">
        <w:rPr>
          <w:rFonts w:cs="Times New Roman"/>
          <w:sz w:val="22"/>
          <w:szCs w:val="22"/>
        </w:rPr>
        <w:t xml:space="preserve"> </w:t>
      </w:r>
    </w:p>
    <w:p w14:paraId="5038797A" w14:textId="601F1E11" w:rsidR="009032EC" w:rsidRPr="00ED0CF6" w:rsidRDefault="009032EC" w:rsidP="00ED0CF6">
      <w:pPr>
        <w:pStyle w:val="Heading3"/>
        <w:numPr>
          <w:ilvl w:val="0"/>
          <w:numId w:val="12"/>
        </w:numPr>
        <w:rPr>
          <w:lang w:val="en-US"/>
        </w:rPr>
      </w:pPr>
      <w:bookmarkStart w:id="7" w:name="_Toc134147581"/>
      <w:r w:rsidRPr="00ED0CF6">
        <w:rPr>
          <w:lang w:val="en-US"/>
        </w:rPr>
        <w:lastRenderedPageBreak/>
        <w:t>Jet return analysis using boxplot and histogram:</w:t>
      </w:r>
      <w:bookmarkEnd w:id="7"/>
      <w:r w:rsidRPr="00ED0CF6">
        <w:rPr>
          <w:lang w:val="en-US"/>
        </w:rPr>
        <w:t xml:space="preserve"> </w:t>
      </w:r>
    </w:p>
    <w:p w14:paraId="52750B52" w14:textId="36D2609A" w:rsidR="00341EA0" w:rsidRPr="00C75D53" w:rsidRDefault="00341EA0" w:rsidP="00C75D53">
      <w:pPr>
        <w:spacing w:beforeLines="240" w:before="576" w:after="0"/>
        <w:contextualSpacing/>
        <w:rPr>
          <w:rFonts w:cs="Times New Roman"/>
          <w:sz w:val="22"/>
          <w:szCs w:val="22"/>
        </w:rPr>
      </w:pPr>
      <w:r w:rsidRPr="00C75D53">
        <w:rPr>
          <w:rFonts w:cs="Times New Roman"/>
          <w:noProof/>
          <w:sz w:val="22"/>
          <w:szCs w:val="22"/>
        </w:rPr>
        <w:drawing>
          <wp:inline distT="0" distB="0" distL="0" distR="0" wp14:anchorId="18C12615" wp14:editId="2E6D6BEE">
            <wp:extent cx="5349240" cy="39014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9240" cy="3901440"/>
                    </a:xfrm>
                    <a:prstGeom prst="rect">
                      <a:avLst/>
                    </a:prstGeom>
                    <a:noFill/>
                    <a:ln>
                      <a:noFill/>
                    </a:ln>
                  </pic:spPr>
                </pic:pic>
              </a:graphicData>
            </a:graphic>
          </wp:inline>
        </w:drawing>
      </w:r>
    </w:p>
    <w:p w14:paraId="6BF570BD" w14:textId="61A7D5D2" w:rsidR="007B1B28" w:rsidRPr="00C75D53" w:rsidRDefault="007B1B28" w:rsidP="00C75D53">
      <w:pPr>
        <w:spacing w:beforeLines="240" w:before="576" w:after="0"/>
        <w:ind w:left="2880"/>
        <w:contextualSpacing/>
        <w:rPr>
          <w:rFonts w:cs="Times New Roman"/>
          <w:i/>
          <w:iCs/>
          <w:sz w:val="22"/>
          <w:szCs w:val="22"/>
        </w:rPr>
      </w:pPr>
      <w:r w:rsidRPr="00C75D53">
        <w:rPr>
          <w:rFonts w:cs="Times New Roman"/>
          <w:i/>
          <w:iCs/>
          <w:sz w:val="22"/>
          <w:szCs w:val="22"/>
        </w:rPr>
        <w:t xml:space="preserve">Figure 6: </w:t>
      </w:r>
      <w:r w:rsidR="009032EC" w:rsidRPr="00C75D53">
        <w:rPr>
          <w:rFonts w:cs="Times New Roman"/>
          <w:i/>
          <w:iCs/>
          <w:sz w:val="22"/>
          <w:szCs w:val="22"/>
        </w:rPr>
        <w:t xml:space="preserve">Boxplot of </w:t>
      </w:r>
      <w:r w:rsidRPr="00C75D53">
        <w:rPr>
          <w:rFonts w:cs="Times New Roman"/>
          <w:i/>
          <w:iCs/>
          <w:sz w:val="22"/>
          <w:szCs w:val="22"/>
        </w:rPr>
        <w:t>JET daily returns</w:t>
      </w:r>
      <w:r w:rsidR="009C7AB6" w:rsidRPr="00C75D53">
        <w:rPr>
          <w:rFonts w:cs="Times New Roman"/>
          <w:i/>
          <w:iCs/>
          <w:sz w:val="22"/>
          <w:szCs w:val="22"/>
        </w:rPr>
        <w:t xml:space="preserve"> </w:t>
      </w:r>
    </w:p>
    <w:p w14:paraId="2415C218" w14:textId="77777777" w:rsidR="009032EC" w:rsidRPr="00C75D53" w:rsidRDefault="009032EC" w:rsidP="00C75D53">
      <w:pPr>
        <w:spacing w:beforeLines="240" w:before="576" w:after="0"/>
        <w:ind w:left="2880" w:firstLine="720"/>
        <w:contextualSpacing/>
        <w:rPr>
          <w:rFonts w:cs="Times New Roman"/>
          <w:i/>
          <w:iCs/>
          <w:sz w:val="22"/>
          <w:szCs w:val="22"/>
        </w:rPr>
      </w:pPr>
    </w:p>
    <w:p w14:paraId="0704F06F" w14:textId="52EE424D" w:rsidR="009032EC" w:rsidRPr="00C75D53" w:rsidRDefault="009032EC" w:rsidP="00C75D53">
      <w:pPr>
        <w:spacing w:beforeLines="240" w:before="576" w:after="0"/>
        <w:contextualSpacing/>
        <w:rPr>
          <w:rFonts w:cs="Times New Roman"/>
          <w:i/>
          <w:iCs/>
          <w:sz w:val="22"/>
          <w:szCs w:val="22"/>
        </w:rPr>
      </w:pPr>
      <w:r w:rsidRPr="00C75D53">
        <w:rPr>
          <w:rFonts w:cs="Times New Roman"/>
          <w:b/>
          <w:bCs/>
          <w:noProof/>
          <w:sz w:val="22"/>
          <w:szCs w:val="22"/>
        </w:rPr>
        <w:drawing>
          <wp:inline distT="0" distB="0" distL="0" distR="0" wp14:anchorId="1972780A" wp14:editId="5CB60297">
            <wp:extent cx="5608320" cy="33635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4658" cy="3397384"/>
                    </a:xfrm>
                    <a:prstGeom prst="rect">
                      <a:avLst/>
                    </a:prstGeom>
                    <a:noFill/>
                    <a:ln>
                      <a:noFill/>
                    </a:ln>
                  </pic:spPr>
                </pic:pic>
              </a:graphicData>
            </a:graphic>
          </wp:inline>
        </w:drawing>
      </w:r>
    </w:p>
    <w:p w14:paraId="57544327" w14:textId="77777777" w:rsidR="009C7AB6" w:rsidRPr="00C75D53" w:rsidRDefault="009C7AB6" w:rsidP="00C75D53">
      <w:pPr>
        <w:spacing w:beforeLines="240" w:before="576" w:after="0"/>
        <w:contextualSpacing/>
        <w:rPr>
          <w:rFonts w:cs="Times New Roman"/>
          <w:sz w:val="22"/>
          <w:szCs w:val="22"/>
        </w:rPr>
      </w:pPr>
    </w:p>
    <w:p w14:paraId="55939E8F" w14:textId="6C9EE19E" w:rsidR="00341EA0" w:rsidRPr="00C75D53" w:rsidRDefault="009032EC" w:rsidP="00C75D53">
      <w:pPr>
        <w:spacing w:beforeLines="240" w:before="576" w:after="0"/>
        <w:ind w:left="2880"/>
        <w:contextualSpacing/>
        <w:rPr>
          <w:rFonts w:cs="Times New Roman"/>
          <w:i/>
          <w:iCs/>
          <w:sz w:val="22"/>
          <w:szCs w:val="22"/>
        </w:rPr>
      </w:pPr>
      <w:r w:rsidRPr="00C75D53">
        <w:rPr>
          <w:rFonts w:cs="Times New Roman"/>
          <w:i/>
          <w:iCs/>
          <w:sz w:val="22"/>
          <w:szCs w:val="22"/>
        </w:rPr>
        <w:t>Figure 7: Histogram of JET daily returns</w:t>
      </w:r>
    </w:p>
    <w:p w14:paraId="459707B3" w14:textId="01243714" w:rsidR="009032EC" w:rsidRPr="00C75D53" w:rsidRDefault="009032EC" w:rsidP="00C75D53">
      <w:pPr>
        <w:spacing w:beforeLines="240" w:before="576" w:after="0"/>
        <w:contextualSpacing/>
        <w:rPr>
          <w:rFonts w:cs="Times New Roman"/>
          <w:sz w:val="22"/>
          <w:szCs w:val="22"/>
        </w:rPr>
      </w:pPr>
      <w:r w:rsidRPr="00C75D53">
        <w:rPr>
          <w:rFonts w:cs="Times New Roman"/>
          <w:sz w:val="22"/>
          <w:szCs w:val="22"/>
        </w:rPr>
        <w:t xml:space="preserve">The boxplot and histogram in </w:t>
      </w:r>
      <w:r w:rsidRPr="00C75D53">
        <w:rPr>
          <w:rFonts w:cs="Times New Roman"/>
          <w:i/>
          <w:iCs/>
          <w:sz w:val="22"/>
          <w:szCs w:val="22"/>
        </w:rPr>
        <w:t xml:space="preserve">figure 6 </w:t>
      </w:r>
      <w:r w:rsidRPr="00C75D53">
        <w:rPr>
          <w:rFonts w:cs="Times New Roman"/>
          <w:sz w:val="22"/>
          <w:szCs w:val="22"/>
        </w:rPr>
        <w:t xml:space="preserve">and 7 both show the </w:t>
      </w:r>
      <w:r w:rsidR="00940149" w:rsidRPr="00C75D53">
        <w:rPr>
          <w:rFonts w:cs="Times New Roman"/>
          <w:sz w:val="22"/>
          <w:szCs w:val="22"/>
        </w:rPr>
        <w:t xml:space="preserve">significant variation of JET’s stock returns. </w:t>
      </w:r>
      <w:r w:rsidR="009F4A30" w:rsidRPr="00C75D53">
        <w:rPr>
          <w:rFonts w:cs="Times New Roman"/>
          <w:sz w:val="22"/>
          <w:szCs w:val="22"/>
        </w:rPr>
        <w:t>According to Liu (2008), t</w:t>
      </w:r>
      <w:r w:rsidR="00940149" w:rsidRPr="00C75D53">
        <w:rPr>
          <w:rFonts w:cs="Times New Roman"/>
          <w:sz w:val="22"/>
          <w:szCs w:val="22"/>
        </w:rPr>
        <w:t>he large size of the box in</w:t>
      </w:r>
      <w:r w:rsidR="009F4A30" w:rsidRPr="00C75D53">
        <w:rPr>
          <w:rFonts w:cs="Times New Roman"/>
          <w:sz w:val="22"/>
          <w:szCs w:val="22"/>
        </w:rPr>
        <w:t xml:space="preserve"> boxplots </w:t>
      </w:r>
      <w:r w:rsidR="00940149" w:rsidRPr="00C75D53">
        <w:rPr>
          <w:rFonts w:cs="Times New Roman"/>
          <w:sz w:val="22"/>
          <w:szCs w:val="22"/>
        </w:rPr>
        <w:t xml:space="preserve">represent the high standard </w:t>
      </w:r>
      <w:r w:rsidR="00940149" w:rsidRPr="00C75D53">
        <w:rPr>
          <w:rFonts w:cs="Times New Roman"/>
          <w:sz w:val="22"/>
          <w:szCs w:val="22"/>
        </w:rPr>
        <w:lastRenderedPageBreak/>
        <w:t xml:space="preserve">deviation proving the instability </w:t>
      </w:r>
      <w:r w:rsidR="00A64688" w:rsidRPr="00C75D53">
        <w:rPr>
          <w:rFonts w:cs="Times New Roman"/>
          <w:sz w:val="22"/>
          <w:szCs w:val="22"/>
        </w:rPr>
        <w:t>of JET’s stock</w:t>
      </w:r>
      <w:r w:rsidR="009F4A30" w:rsidRPr="00C75D53">
        <w:rPr>
          <w:rFonts w:cs="Times New Roman"/>
          <w:sz w:val="22"/>
          <w:szCs w:val="22"/>
        </w:rPr>
        <w:t xml:space="preserve"> as in </w:t>
      </w:r>
      <w:r w:rsidR="009F4A30" w:rsidRPr="00C75D53">
        <w:rPr>
          <w:rFonts w:cs="Times New Roman"/>
          <w:i/>
          <w:iCs/>
          <w:sz w:val="22"/>
          <w:szCs w:val="22"/>
        </w:rPr>
        <w:t>figure 6</w:t>
      </w:r>
      <w:r w:rsidR="00A64688" w:rsidRPr="00C75D53">
        <w:rPr>
          <w:rFonts w:cs="Times New Roman"/>
          <w:sz w:val="22"/>
          <w:szCs w:val="22"/>
        </w:rPr>
        <w:t xml:space="preserve">. However, it could be seen in </w:t>
      </w:r>
      <w:r w:rsidR="00A64688" w:rsidRPr="00C75D53">
        <w:rPr>
          <w:rFonts w:cs="Times New Roman"/>
          <w:i/>
          <w:iCs/>
          <w:sz w:val="22"/>
          <w:szCs w:val="22"/>
        </w:rPr>
        <w:t xml:space="preserve">figure 7 </w:t>
      </w:r>
      <w:r w:rsidR="00A64688" w:rsidRPr="00C75D53">
        <w:rPr>
          <w:rFonts w:cs="Times New Roman"/>
          <w:sz w:val="22"/>
          <w:szCs w:val="22"/>
        </w:rPr>
        <w:t>that the number outliers in negative points are lower than positive ones. This means despite of its</w:t>
      </w:r>
      <w:r w:rsidR="00C906C2" w:rsidRPr="00C75D53">
        <w:rPr>
          <w:rFonts w:cs="Times New Roman"/>
          <w:sz w:val="22"/>
          <w:szCs w:val="22"/>
        </w:rPr>
        <w:t xml:space="preserve"> </w:t>
      </w:r>
      <w:proofErr w:type="gramStart"/>
      <w:r w:rsidR="00A64688" w:rsidRPr="00C75D53">
        <w:rPr>
          <w:rFonts w:cs="Times New Roman"/>
          <w:sz w:val="22"/>
          <w:szCs w:val="22"/>
        </w:rPr>
        <w:t>volatility,</w:t>
      </w:r>
      <w:proofErr w:type="gramEnd"/>
      <w:r w:rsidR="00A64688" w:rsidRPr="00C75D53">
        <w:rPr>
          <w:rFonts w:cs="Times New Roman"/>
          <w:sz w:val="22"/>
          <w:szCs w:val="22"/>
        </w:rPr>
        <w:t xml:space="preserve"> JET’s stock ha</w:t>
      </w:r>
      <w:r w:rsidR="000703B3" w:rsidRPr="00C75D53">
        <w:rPr>
          <w:rFonts w:cs="Times New Roman"/>
          <w:sz w:val="22"/>
          <w:szCs w:val="22"/>
        </w:rPr>
        <w:t>s</w:t>
      </w:r>
      <w:r w:rsidR="00A64688" w:rsidRPr="00C75D53">
        <w:rPr>
          <w:rFonts w:cs="Times New Roman"/>
          <w:sz w:val="22"/>
          <w:szCs w:val="22"/>
        </w:rPr>
        <w:t xml:space="preserve"> high</w:t>
      </w:r>
      <w:r w:rsidR="000703B3" w:rsidRPr="00C75D53">
        <w:rPr>
          <w:rFonts w:cs="Times New Roman"/>
          <w:sz w:val="22"/>
          <w:szCs w:val="22"/>
        </w:rPr>
        <w:t>er</w:t>
      </w:r>
      <w:r w:rsidR="00A64688" w:rsidRPr="00C75D53">
        <w:rPr>
          <w:rFonts w:cs="Times New Roman"/>
          <w:sz w:val="22"/>
          <w:szCs w:val="22"/>
        </w:rPr>
        <w:t xml:space="preserve"> possibility of generating positively favourable returns. </w:t>
      </w:r>
    </w:p>
    <w:p w14:paraId="3AA25D04" w14:textId="388740F0" w:rsidR="009032EC" w:rsidRPr="00ED0CF6" w:rsidRDefault="009032EC" w:rsidP="00ED0CF6">
      <w:pPr>
        <w:pStyle w:val="Heading3"/>
        <w:numPr>
          <w:ilvl w:val="0"/>
          <w:numId w:val="12"/>
        </w:numPr>
        <w:rPr>
          <w:lang w:val="en-US"/>
        </w:rPr>
      </w:pPr>
      <w:bookmarkStart w:id="8" w:name="_Toc134147582"/>
      <w:r w:rsidRPr="00ED0CF6">
        <w:rPr>
          <w:lang w:val="en-US"/>
        </w:rPr>
        <w:t>Comparing returns using boxplot and histogram:</w:t>
      </w:r>
      <w:bookmarkEnd w:id="8"/>
    </w:p>
    <w:p w14:paraId="71BB271B" w14:textId="4E0F43A1" w:rsidR="007B1B28" w:rsidRPr="00C75D53" w:rsidRDefault="00341EA0" w:rsidP="00C75D53">
      <w:pPr>
        <w:spacing w:beforeLines="240" w:before="576" w:after="0"/>
        <w:contextualSpacing/>
        <w:rPr>
          <w:rFonts w:cs="Times New Roman"/>
          <w:b/>
          <w:bCs/>
          <w:sz w:val="22"/>
          <w:szCs w:val="22"/>
        </w:rPr>
      </w:pPr>
      <w:r w:rsidRPr="00C75D53">
        <w:rPr>
          <w:rFonts w:cs="Times New Roman"/>
          <w:b/>
          <w:bCs/>
          <w:noProof/>
          <w:sz w:val="22"/>
          <w:szCs w:val="22"/>
        </w:rPr>
        <w:drawing>
          <wp:inline distT="0" distB="0" distL="0" distR="0" wp14:anchorId="0DFBE867" wp14:editId="7773145E">
            <wp:extent cx="5379720" cy="3992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9720" cy="3992880"/>
                    </a:xfrm>
                    <a:prstGeom prst="rect">
                      <a:avLst/>
                    </a:prstGeom>
                    <a:noFill/>
                    <a:ln>
                      <a:noFill/>
                    </a:ln>
                  </pic:spPr>
                </pic:pic>
              </a:graphicData>
            </a:graphic>
          </wp:inline>
        </w:drawing>
      </w:r>
    </w:p>
    <w:p w14:paraId="79180AAE" w14:textId="4D8CBFC6" w:rsidR="007B1B28" w:rsidRPr="00C75D53" w:rsidRDefault="007B1B28" w:rsidP="00C75D53">
      <w:pPr>
        <w:spacing w:beforeLines="240" w:before="576" w:after="0"/>
        <w:ind w:left="2880"/>
        <w:contextualSpacing/>
        <w:rPr>
          <w:rFonts w:cs="Times New Roman"/>
          <w:i/>
          <w:iCs/>
          <w:sz w:val="22"/>
          <w:szCs w:val="22"/>
        </w:rPr>
      </w:pPr>
      <w:r w:rsidRPr="00C75D53">
        <w:rPr>
          <w:rFonts w:cs="Times New Roman"/>
          <w:i/>
          <w:iCs/>
          <w:sz w:val="22"/>
          <w:szCs w:val="22"/>
        </w:rPr>
        <w:t xml:space="preserve">Figure </w:t>
      </w:r>
      <w:r w:rsidR="009032EC" w:rsidRPr="00C75D53">
        <w:rPr>
          <w:rFonts w:cs="Times New Roman"/>
          <w:i/>
          <w:iCs/>
          <w:sz w:val="22"/>
          <w:szCs w:val="22"/>
        </w:rPr>
        <w:t>8</w:t>
      </w:r>
      <w:r w:rsidRPr="00C75D53">
        <w:rPr>
          <w:rFonts w:cs="Times New Roman"/>
          <w:i/>
          <w:iCs/>
          <w:sz w:val="22"/>
          <w:szCs w:val="22"/>
        </w:rPr>
        <w:t xml:space="preserve">: </w:t>
      </w:r>
      <w:r w:rsidR="009032EC" w:rsidRPr="00C75D53">
        <w:rPr>
          <w:rFonts w:cs="Times New Roman"/>
          <w:i/>
          <w:iCs/>
          <w:sz w:val="22"/>
          <w:szCs w:val="22"/>
        </w:rPr>
        <w:t>Boxplot c</w:t>
      </w:r>
      <w:r w:rsidRPr="00C75D53">
        <w:rPr>
          <w:rFonts w:cs="Times New Roman"/>
          <w:i/>
          <w:iCs/>
          <w:sz w:val="22"/>
          <w:szCs w:val="22"/>
        </w:rPr>
        <w:t>omparing daily returns</w:t>
      </w:r>
    </w:p>
    <w:p w14:paraId="7AF44FDE" w14:textId="00116D41" w:rsidR="00AA3244" w:rsidRPr="00C75D53" w:rsidRDefault="00AA3244" w:rsidP="00C75D53">
      <w:pPr>
        <w:spacing w:beforeLines="240" w:before="576" w:after="0"/>
        <w:contextualSpacing/>
        <w:rPr>
          <w:rFonts w:cs="Times New Roman"/>
          <w:b/>
          <w:bCs/>
          <w:sz w:val="22"/>
          <w:szCs w:val="22"/>
        </w:rPr>
      </w:pPr>
    </w:p>
    <w:p w14:paraId="57FE8519" w14:textId="5B69A263" w:rsidR="00AA3244" w:rsidRPr="00C75D53" w:rsidRDefault="00AA3244" w:rsidP="00C75D53">
      <w:pPr>
        <w:spacing w:beforeLines="240" w:before="576" w:after="0"/>
        <w:contextualSpacing/>
        <w:rPr>
          <w:rFonts w:cs="Times New Roman"/>
          <w:b/>
          <w:bCs/>
          <w:sz w:val="22"/>
          <w:szCs w:val="22"/>
        </w:rPr>
      </w:pPr>
      <w:r w:rsidRPr="00C75D53">
        <w:rPr>
          <w:rFonts w:cs="Times New Roman"/>
          <w:b/>
          <w:bCs/>
          <w:noProof/>
          <w:sz w:val="22"/>
          <w:szCs w:val="22"/>
        </w:rPr>
        <w:lastRenderedPageBreak/>
        <w:drawing>
          <wp:inline distT="0" distB="0" distL="0" distR="0" wp14:anchorId="7E878B99" wp14:editId="74829B47">
            <wp:extent cx="5295900" cy="3839308"/>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7754" cy="3840652"/>
                    </a:xfrm>
                    <a:prstGeom prst="rect">
                      <a:avLst/>
                    </a:prstGeom>
                  </pic:spPr>
                </pic:pic>
              </a:graphicData>
            </a:graphic>
          </wp:inline>
        </w:drawing>
      </w:r>
    </w:p>
    <w:p w14:paraId="1541C8DE" w14:textId="20EB2D36" w:rsidR="009032EC" w:rsidRPr="00C75D53" w:rsidRDefault="009032EC" w:rsidP="00C75D53">
      <w:pPr>
        <w:spacing w:beforeLines="240" w:before="576" w:after="0"/>
        <w:ind w:left="2160" w:firstLine="720"/>
        <w:contextualSpacing/>
        <w:rPr>
          <w:rFonts w:cs="Times New Roman"/>
          <w:i/>
          <w:iCs/>
          <w:sz w:val="22"/>
          <w:szCs w:val="22"/>
        </w:rPr>
      </w:pPr>
      <w:r w:rsidRPr="00C75D53">
        <w:rPr>
          <w:rFonts w:cs="Times New Roman"/>
          <w:i/>
          <w:iCs/>
          <w:sz w:val="22"/>
          <w:szCs w:val="22"/>
        </w:rPr>
        <w:t>Figure 9: Histogram comparing daily returns</w:t>
      </w:r>
    </w:p>
    <w:p w14:paraId="73A6EC83" w14:textId="53584467" w:rsidR="00286841" w:rsidRPr="00C92A93" w:rsidRDefault="000703B3" w:rsidP="00C92A93">
      <w:pPr>
        <w:spacing w:after="0"/>
        <w:rPr>
          <w:sz w:val="22"/>
          <w:szCs w:val="22"/>
        </w:rPr>
      </w:pPr>
      <w:r w:rsidRPr="00C92A93">
        <w:rPr>
          <w:sz w:val="22"/>
          <w:szCs w:val="22"/>
        </w:rPr>
        <w:t xml:space="preserve">The boxplot in </w:t>
      </w:r>
      <w:r w:rsidRPr="00C92A93">
        <w:rPr>
          <w:i/>
          <w:iCs/>
          <w:sz w:val="22"/>
          <w:szCs w:val="22"/>
        </w:rPr>
        <w:t>figure 8</w:t>
      </w:r>
      <w:r w:rsidRPr="00C92A93">
        <w:rPr>
          <w:sz w:val="22"/>
          <w:szCs w:val="22"/>
        </w:rPr>
        <w:t xml:space="preserve"> indicates that both JET daily returns have the highest variation whilst the figure of FTSE is opposite. Both JET and OCA ha</w:t>
      </w:r>
      <w:r w:rsidR="00DF4E9E" w:rsidRPr="00C92A93">
        <w:rPr>
          <w:sz w:val="22"/>
          <w:szCs w:val="22"/>
        </w:rPr>
        <w:t xml:space="preserve">ve </w:t>
      </w:r>
      <w:r w:rsidRPr="00C92A93">
        <w:rPr>
          <w:sz w:val="22"/>
          <w:szCs w:val="22"/>
        </w:rPr>
        <w:t>higher standard deviation showed by large boxes whilst FTSE</w:t>
      </w:r>
      <w:r w:rsidR="00DF4E9E" w:rsidRPr="00C92A93">
        <w:rPr>
          <w:sz w:val="22"/>
          <w:szCs w:val="22"/>
        </w:rPr>
        <w:t>’s return</w:t>
      </w:r>
      <w:r w:rsidRPr="00C92A93">
        <w:rPr>
          <w:sz w:val="22"/>
          <w:szCs w:val="22"/>
        </w:rPr>
        <w:t xml:space="preserve"> standard deviation</w:t>
      </w:r>
      <w:r w:rsidR="00DF4E9E" w:rsidRPr="00C92A93">
        <w:rPr>
          <w:sz w:val="22"/>
          <w:szCs w:val="22"/>
        </w:rPr>
        <w:t xml:space="preserve"> is much smaller meaning FTSE’s is less</w:t>
      </w:r>
      <w:r w:rsidRPr="00C92A93">
        <w:rPr>
          <w:sz w:val="22"/>
          <w:szCs w:val="22"/>
        </w:rPr>
        <w:t xml:space="preserve"> </w:t>
      </w:r>
      <w:r w:rsidR="00DF4E9E" w:rsidRPr="00C92A93">
        <w:rPr>
          <w:sz w:val="22"/>
          <w:szCs w:val="22"/>
        </w:rPr>
        <w:t xml:space="preserve">volatile than the other two. Besides, </w:t>
      </w:r>
      <w:r w:rsidR="00DF4E9E" w:rsidRPr="00C92A93">
        <w:rPr>
          <w:i/>
          <w:iCs/>
          <w:sz w:val="22"/>
          <w:szCs w:val="22"/>
        </w:rPr>
        <w:t xml:space="preserve">figure 8 </w:t>
      </w:r>
      <w:r w:rsidR="00DF4E9E" w:rsidRPr="00C92A93">
        <w:rPr>
          <w:sz w:val="22"/>
          <w:szCs w:val="22"/>
        </w:rPr>
        <w:t xml:space="preserve">and </w:t>
      </w:r>
      <w:r w:rsidR="00DF4E9E" w:rsidRPr="00C92A93">
        <w:rPr>
          <w:i/>
          <w:iCs/>
          <w:sz w:val="22"/>
          <w:szCs w:val="22"/>
        </w:rPr>
        <w:t xml:space="preserve">figure 9 </w:t>
      </w:r>
      <w:r w:rsidR="00DF4E9E" w:rsidRPr="00C92A93">
        <w:rPr>
          <w:sz w:val="22"/>
          <w:szCs w:val="22"/>
        </w:rPr>
        <w:t xml:space="preserve">both show that JET’s stock return distribution is negatively skewed whilst that of OCA and FTSE are slightly positively skewed meaning that OCA and FTSE’s stock performance are slightly better than JETs. </w:t>
      </w:r>
    </w:p>
    <w:p w14:paraId="70CDFAA5" w14:textId="77777777" w:rsidR="00AE2FE3" w:rsidRPr="00C75D53" w:rsidRDefault="00AE2FE3" w:rsidP="00C75D53">
      <w:pPr>
        <w:spacing w:beforeLines="240" w:before="576"/>
        <w:rPr>
          <w:rFonts w:cs="Times New Roman"/>
          <w:sz w:val="22"/>
          <w:szCs w:val="22"/>
        </w:rPr>
      </w:pPr>
    </w:p>
    <w:p w14:paraId="021936B1" w14:textId="347144D6" w:rsidR="00EC50F0" w:rsidRPr="00ED0CF6" w:rsidRDefault="001F379E" w:rsidP="00ED0CF6">
      <w:pPr>
        <w:pStyle w:val="Heading2"/>
        <w:numPr>
          <w:ilvl w:val="0"/>
          <w:numId w:val="11"/>
        </w:numPr>
      </w:pPr>
      <w:bookmarkStart w:id="9" w:name="_Toc134147583"/>
      <w:r w:rsidRPr="00ED0CF6">
        <w:lastRenderedPageBreak/>
        <w:t>Correlation and Regression</w:t>
      </w:r>
      <w:r w:rsidR="0082250E" w:rsidRPr="00ED0CF6">
        <w:t xml:space="preserve"> Analysis</w:t>
      </w:r>
      <w:bookmarkEnd w:id="9"/>
    </w:p>
    <w:p w14:paraId="6D47718F" w14:textId="646E6CBD" w:rsidR="003F315D" w:rsidRPr="00C75D53" w:rsidRDefault="003F315D" w:rsidP="00ED0CF6">
      <w:pPr>
        <w:pStyle w:val="Heading3"/>
        <w:numPr>
          <w:ilvl w:val="0"/>
          <w:numId w:val="13"/>
        </w:numPr>
      </w:pPr>
      <w:bookmarkStart w:id="10" w:name="_Toc134147584"/>
      <w:r w:rsidRPr="00C75D53">
        <w:t>Correlation</w:t>
      </w:r>
      <w:r w:rsidR="005630BA">
        <w:t>:</w:t>
      </w:r>
      <w:bookmarkEnd w:id="10"/>
      <w:r w:rsidRPr="00C75D53">
        <w:t xml:space="preserve"> </w:t>
      </w:r>
    </w:p>
    <w:p w14:paraId="5CAE5BB1" w14:textId="5038C047" w:rsidR="00AA3244" w:rsidRPr="00C75D53" w:rsidRDefault="00AA3244" w:rsidP="00C75D53">
      <w:pPr>
        <w:spacing w:beforeLines="240" w:before="576" w:after="0"/>
        <w:ind w:left="360"/>
        <w:contextualSpacing/>
        <w:rPr>
          <w:rFonts w:cs="Times New Roman"/>
          <w:sz w:val="22"/>
          <w:szCs w:val="22"/>
        </w:rPr>
      </w:pPr>
      <w:r w:rsidRPr="00C75D53">
        <w:rPr>
          <w:rFonts w:cs="Times New Roman"/>
          <w:noProof/>
          <w:sz w:val="22"/>
          <w:szCs w:val="22"/>
        </w:rPr>
        <w:drawing>
          <wp:inline distT="0" distB="0" distL="0" distR="0" wp14:anchorId="6D45EF90" wp14:editId="11076EA0">
            <wp:extent cx="4293870" cy="27138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2414" cy="2725612"/>
                    </a:xfrm>
                    <a:prstGeom prst="rect">
                      <a:avLst/>
                    </a:prstGeom>
                    <a:noFill/>
                    <a:ln>
                      <a:noFill/>
                    </a:ln>
                  </pic:spPr>
                </pic:pic>
              </a:graphicData>
            </a:graphic>
          </wp:inline>
        </w:drawing>
      </w:r>
    </w:p>
    <w:p w14:paraId="2DCDB000" w14:textId="294581ED" w:rsidR="00DF4E9E" w:rsidRDefault="00DF4E9E" w:rsidP="00C75D53">
      <w:pPr>
        <w:spacing w:beforeLines="240" w:before="576" w:after="0"/>
        <w:ind w:left="1080" w:firstLine="360"/>
        <w:contextualSpacing/>
        <w:rPr>
          <w:rFonts w:cs="Times New Roman"/>
          <w:i/>
          <w:iCs/>
          <w:sz w:val="22"/>
          <w:szCs w:val="22"/>
        </w:rPr>
      </w:pPr>
      <w:r w:rsidRPr="00C75D53">
        <w:rPr>
          <w:rFonts w:cs="Times New Roman"/>
          <w:i/>
          <w:iCs/>
          <w:sz w:val="22"/>
          <w:szCs w:val="22"/>
        </w:rPr>
        <w:t xml:space="preserve">Figure 10: Correlation between JET and OCA stock prices: </w:t>
      </w:r>
    </w:p>
    <w:p w14:paraId="678B162A" w14:textId="77777777" w:rsidR="004A14A8" w:rsidRPr="00C75D53" w:rsidRDefault="004A14A8" w:rsidP="00C75D53">
      <w:pPr>
        <w:spacing w:beforeLines="240" w:before="576" w:after="0"/>
        <w:ind w:left="1080" w:firstLine="360"/>
        <w:contextualSpacing/>
        <w:rPr>
          <w:rFonts w:cs="Times New Roman"/>
          <w:i/>
          <w:iCs/>
          <w:sz w:val="22"/>
          <w:szCs w:val="22"/>
        </w:rPr>
      </w:pPr>
    </w:p>
    <w:p w14:paraId="4953C587" w14:textId="0693D272" w:rsidR="00DF4E9E" w:rsidRPr="00C75D53" w:rsidRDefault="005F7C9E" w:rsidP="00C75D53">
      <w:pPr>
        <w:spacing w:beforeLines="240" w:before="576" w:after="0"/>
        <w:ind w:left="360"/>
        <w:contextualSpacing/>
        <w:rPr>
          <w:rFonts w:cs="Times New Roman"/>
          <w:sz w:val="22"/>
          <w:szCs w:val="22"/>
        </w:rPr>
      </w:pPr>
      <w:r w:rsidRPr="00C75D53">
        <w:rPr>
          <w:rFonts w:cs="Times New Roman"/>
          <w:sz w:val="22"/>
          <w:szCs w:val="22"/>
        </w:rPr>
        <w:t>The scatter plot</w:t>
      </w:r>
      <w:r w:rsidR="00CE5323" w:rsidRPr="00C75D53">
        <w:rPr>
          <w:rFonts w:cs="Times New Roman"/>
          <w:sz w:val="22"/>
          <w:szCs w:val="22"/>
        </w:rPr>
        <w:t xml:space="preserve"> in </w:t>
      </w:r>
      <w:r w:rsidR="00CE5323" w:rsidRPr="00C75D53">
        <w:rPr>
          <w:rFonts w:cs="Times New Roman"/>
          <w:i/>
          <w:iCs/>
          <w:sz w:val="22"/>
          <w:szCs w:val="22"/>
        </w:rPr>
        <w:t>figure 10</w:t>
      </w:r>
      <w:r w:rsidR="00CE5323" w:rsidRPr="00C75D53">
        <w:rPr>
          <w:rFonts w:cs="Times New Roman"/>
          <w:sz w:val="22"/>
          <w:szCs w:val="22"/>
        </w:rPr>
        <w:t xml:space="preserve"> demonstrates a relatively high correlation between JET and OCA stock prices meaning the adjustment in one stock price will affect the other. </w:t>
      </w:r>
    </w:p>
    <w:p w14:paraId="7531780A" w14:textId="4CE4724B" w:rsidR="00AA3244" w:rsidRPr="00C75D53" w:rsidRDefault="00AA3244" w:rsidP="00C75D53">
      <w:pPr>
        <w:spacing w:beforeLines="240" w:before="576" w:after="0"/>
        <w:ind w:left="360"/>
        <w:contextualSpacing/>
        <w:rPr>
          <w:rFonts w:cs="Times New Roman"/>
          <w:sz w:val="22"/>
          <w:szCs w:val="22"/>
        </w:rPr>
      </w:pPr>
      <w:r w:rsidRPr="00C75D53">
        <w:rPr>
          <w:rFonts w:cs="Times New Roman"/>
          <w:noProof/>
          <w:sz w:val="22"/>
          <w:szCs w:val="22"/>
        </w:rPr>
        <w:drawing>
          <wp:inline distT="0" distB="0" distL="0" distR="0" wp14:anchorId="7A1623F8" wp14:editId="61F3467F">
            <wp:extent cx="5304790" cy="41617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4790" cy="4161790"/>
                    </a:xfrm>
                    <a:prstGeom prst="rect">
                      <a:avLst/>
                    </a:prstGeom>
                    <a:noFill/>
                    <a:ln>
                      <a:noFill/>
                    </a:ln>
                  </pic:spPr>
                </pic:pic>
              </a:graphicData>
            </a:graphic>
          </wp:inline>
        </w:drawing>
      </w:r>
    </w:p>
    <w:p w14:paraId="1D0FE103" w14:textId="2CE124FF" w:rsidR="00DF4E9E" w:rsidRPr="00C75D53" w:rsidRDefault="00AA3244" w:rsidP="00C75D53">
      <w:pPr>
        <w:spacing w:beforeLines="240" w:before="576" w:after="0"/>
        <w:ind w:left="1440" w:firstLine="720"/>
        <w:contextualSpacing/>
        <w:rPr>
          <w:rFonts w:cs="Times New Roman"/>
          <w:i/>
          <w:iCs/>
          <w:sz w:val="22"/>
          <w:szCs w:val="22"/>
        </w:rPr>
      </w:pPr>
      <w:r w:rsidRPr="00C75D53">
        <w:rPr>
          <w:rFonts w:cs="Times New Roman"/>
          <w:i/>
          <w:iCs/>
          <w:sz w:val="22"/>
          <w:szCs w:val="22"/>
        </w:rPr>
        <w:t>Figure</w:t>
      </w:r>
      <w:r w:rsidR="00DF4E9E" w:rsidRPr="00C75D53">
        <w:rPr>
          <w:rFonts w:cs="Times New Roman"/>
          <w:i/>
          <w:iCs/>
          <w:sz w:val="22"/>
          <w:szCs w:val="22"/>
        </w:rPr>
        <w:t xml:space="preserve"> 11: Correlation between JET, OCA and FTSE stock prices</w:t>
      </w:r>
    </w:p>
    <w:p w14:paraId="2C35A9A6" w14:textId="0537FD92" w:rsidR="00AA3244" w:rsidRPr="00C75D53" w:rsidRDefault="00AA3244" w:rsidP="00C75D53">
      <w:pPr>
        <w:spacing w:beforeLines="240" w:before="576" w:after="0"/>
        <w:ind w:left="360"/>
        <w:contextualSpacing/>
        <w:rPr>
          <w:rFonts w:cs="Times New Roman"/>
          <w:sz w:val="22"/>
          <w:szCs w:val="22"/>
        </w:rPr>
      </w:pPr>
    </w:p>
    <w:p w14:paraId="1BA25C17" w14:textId="0416DC04" w:rsidR="00AA3244" w:rsidRPr="00C75D53" w:rsidRDefault="00AA3244" w:rsidP="00C75D53">
      <w:pPr>
        <w:spacing w:beforeLines="240" w:before="576" w:after="0"/>
        <w:ind w:left="2520"/>
        <w:contextualSpacing/>
        <w:rPr>
          <w:rFonts w:cs="Times New Roman"/>
          <w:sz w:val="22"/>
          <w:szCs w:val="22"/>
        </w:rPr>
      </w:pPr>
      <w:r w:rsidRPr="00C75D53">
        <w:rPr>
          <w:rFonts w:cs="Times New Roman"/>
          <w:noProof/>
          <w:sz w:val="22"/>
          <w:szCs w:val="22"/>
        </w:rPr>
        <w:lastRenderedPageBreak/>
        <w:drawing>
          <wp:inline distT="0" distB="0" distL="0" distR="0" wp14:anchorId="7C032C6A" wp14:editId="20CBC9BC">
            <wp:extent cx="2956816" cy="11049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6816" cy="1104996"/>
                    </a:xfrm>
                    <a:prstGeom prst="rect">
                      <a:avLst/>
                    </a:prstGeom>
                  </pic:spPr>
                </pic:pic>
              </a:graphicData>
            </a:graphic>
          </wp:inline>
        </w:drawing>
      </w:r>
    </w:p>
    <w:p w14:paraId="2620964A" w14:textId="473DCE82" w:rsidR="00AA3244" w:rsidRPr="00C75D53" w:rsidRDefault="00CE5323" w:rsidP="00C75D53">
      <w:pPr>
        <w:spacing w:beforeLines="240" w:before="576" w:after="0"/>
        <w:ind w:left="1440" w:firstLine="720"/>
        <w:contextualSpacing/>
        <w:rPr>
          <w:rFonts w:cs="Times New Roman"/>
          <w:i/>
          <w:iCs/>
          <w:sz w:val="22"/>
          <w:szCs w:val="22"/>
        </w:rPr>
      </w:pPr>
      <w:r w:rsidRPr="00C75D53">
        <w:rPr>
          <w:rFonts w:cs="Times New Roman"/>
          <w:i/>
          <w:iCs/>
          <w:sz w:val="22"/>
          <w:szCs w:val="22"/>
        </w:rPr>
        <w:t xml:space="preserve">Figure 12: Result of </w:t>
      </w:r>
      <w:r w:rsidR="00286841" w:rsidRPr="00C75D53">
        <w:rPr>
          <w:rFonts w:cs="Times New Roman"/>
          <w:i/>
          <w:iCs/>
          <w:sz w:val="22"/>
          <w:szCs w:val="22"/>
        </w:rPr>
        <w:t xml:space="preserve">the </w:t>
      </w:r>
      <w:r w:rsidRPr="00C75D53">
        <w:rPr>
          <w:rFonts w:cs="Times New Roman"/>
          <w:i/>
          <w:iCs/>
          <w:sz w:val="22"/>
          <w:szCs w:val="22"/>
        </w:rPr>
        <w:t>correlation between three stocks price</w:t>
      </w:r>
    </w:p>
    <w:p w14:paraId="06A7CE9E" w14:textId="77777777" w:rsidR="00286841" w:rsidRPr="00C75D53" w:rsidRDefault="00286841" w:rsidP="00C75D53">
      <w:pPr>
        <w:spacing w:beforeLines="240" w:before="576" w:after="0"/>
        <w:contextualSpacing/>
        <w:rPr>
          <w:rFonts w:cs="Times New Roman"/>
          <w:b/>
          <w:bCs/>
          <w:sz w:val="22"/>
          <w:szCs w:val="22"/>
        </w:rPr>
      </w:pPr>
    </w:p>
    <w:p w14:paraId="2D28794A" w14:textId="77777777" w:rsidR="00286841" w:rsidRPr="00C75D53" w:rsidRDefault="00286841" w:rsidP="00C75D53">
      <w:pPr>
        <w:spacing w:beforeLines="240" w:before="576" w:after="0"/>
        <w:contextualSpacing/>
        <w:rPr>
          <w:rFonts w:cs="Times New Roman"/>
          <w:b/>
          <w:bCs/>
          <w:sz w:val="22"/>
          <w:szCs w:val="22"/>
        </w:rPr>
      </w:pPr>
    </w:p>
    <w:p w14:paraId="09EC7BCB" w14:textId="5DDE4018" w:rsidR="00286841" w:rsidRPr="004A14A8" w:rsidRDefault="00286841" w:rsidP="00C75D53">
      <w:pPr>
        <w:spacing w:beforeLines="240" w:before="576" w:after="0"/>
        <w:contextualSpacing/>
        <w:rPr>
          <w:rFonts w:cs="Times New Roman"/>
          <w:sz w:val="22"/>
          <w:szCs w:val="22"/>
        </w:rPr>
      </w:pPr>
      <w:r w:rsidRPr="00C75D53">
        <w:rPr>
          <w:rFonts w:cs="Times New Roman"/>
          <w:i/>
          <w:iCs/>
          <w:sz w:val="22"/>
          <w:szCs w:val="22"/>
        </w:rPr>
        <w:t xml:space="preserve">Figure 11 </w:t>
      </w:r>
      <w:r w:rsidRPr="00C75D53">
        <w:rPr>
          <w:rFonts w:cs="Times New Roman"/>
          <w:sz w:val="22"/>
          <w:szCs w:val="22"/>
        </w:rPr>
        <w:t xml:space="preserve">and </w:t>
      </w:r>
      <w:r w:rsidRPr="00C75D53">
        <w:rPr>
          <w:rFonts w:cs="Times New Roman"/>
          <w:i/>
          <w:iCs/>
          <w:sz w:val="22"/>
          <w:szCs w:val="22"/>
        </w:rPr>
        <w:t>figure 12</w:t>
      </w:r>
      <w:r w:rsidRPr="00C75D53">
        <w:rPr>
          <w:rFonts w:cs="Times New Roman"/>
          <w:sz w:val="22"/>
          <w:szCs w:val="22"/>
        </w:rPr>
        <w:t xml:space="preserve"> show significant</w:t>
      </w:r>
      <w:r w:rsidR="00F90B4E" w:rsidRPr="00C75D53">
        <w:rPr>
          <w:rFonts w:cs="Times New Roman"/>
          <w:sz w:val="22"/>
          <w:szCs w:val="22"/>
        </w:rPr>
        <w:t xml:space="preserve"> positive</w:t>
      </w:r>
      <w:r w:rsidRPr="00C75D53">
        <w:rPr>
          <w:rFonts w:cs="Times New Roman"/>
          <w:sz w:val="22"/>
          <w:szCs w:val="22"/>
        </w:rPr>
        <w:t xml:space="preserve"> relationship between JET and OCA stock price with R-value of 68.7% meanwhile there is </w:t>
      </w:r>
      <w:r w:rsidR="00F90B4E" w:rsidRPr="00C75D53">
        <w:rPr>
          <w:rFonts w:cs="Times New Roman"/>
          <w:sz w:val="22"/>
          <w:szCs w:val="22"/>
        </w:rPr>
        <w:t xml:space="preserve">a noticeable inverse </w:t>
      </w:r>
      <w:r w:rsidRPr="00C75D53">
        <w:rPr>
          <w:rFonts w:cs="Times New Roman"/>
          <w:sz w:val="22"/>
          <w:szCs w:val="22"/>
        </w:rPr>
        <w:t>correlation between FTSE</w:t>
      </w:r>
      <w:r w:rsidR="00F90B4E" w:rsidRPr="00C75D53">
        <w:rPr>
          <w:rFonts w:cs="Times New Roman"/>
          <w:sz w:val="22"/>
          <w:szCs w:val="22"/>
        </w:rPr>
        <w:t xml:space="preserve"> price</w:t>
      </w:r>
      <w:r w:rsidRPr="00C75D53">
        <w:rPr>
          <w:rFonts w:cs="Times New Roman"/>
          <w:sz w:val="22"/>
          <w:szCs w:val="22"/>
        </w:rPr>
        <w:t xml:space="preserve"> and </w:t>
      </w:r>
      <w:r w:rsidR="00F90B4E" w:rsidRPr="00C75D53">
        <w:rPr>
          <w:rFonts w:cs="Times New Roman"/>
          <w:sz w:val="22"/>
          <w:szCs w:val="22"/>
        </w:rPr>
        <w:t>JET with negative R-value of -69%</w:t>
      </w:r>
      <w:r w:rsidRPr="00C75D53">
        <w:rPr>
          <w:rFonts w:cs="Times New Roman"/>
          <w:sz w:val="22"/>
          <w:szCs w:val="22"/>
        </w:rPr>
        <w:t xml:space="preserve">. </w:t>
      </w:r>
      <w:r w:rsidR="006B70D5" w:rsidRPr="00C75D53">
        <w:rPr>
          <w:rFonts w:cs="Times New Roman"/>
          <w:sz w:val="22"/>
          <w:szCs w:val="22"/>
        </w:rPr>
        <w:t xml:space="preserve">Thus, </w:t>
      </w:r>
      <w:r w:rsidR="00F90B4E" w:rsidRPr="00C75D53">
        <w:rPr>
          <w:rFonts w:cs="Times New Roman"/>
          <w:sz w:val="22"/>
          <w:szCs w:val="22"/>
        </w:rPr>
        <w:t>changes in OCA price have positive impact on JET price while FTSE price negative</w:t>
      </w:r>
      <w:r w:rsidR="00355EB3" w:rsidRPr="00C75D53">
        <w:rPr>
          <w:rFonts w:cs="Times New Roman"/>
          <w:sz w:val="22"/>
          <w:szCs w:val="22"/>
        </w:rPr>
        <w:t>ly</w:t>
      </w:r>
      <w:r w:rsidR="00F90B4E" w:rsidRPr="00C75D53">
        <w:rPr>
          <w:rFonts w:cs="Times New Roman"/>
          <w:sz w:val="22"/>
          <w:szCs w:val="22"/>
        </w:rPr>
        <w:t xml:space="preserve"> influence</w:t>
      </w:r>
      <w:r w:rsidR="00355EB3" w:rsidRPr="00C75D53">
        <w:rPr>
          <w:rFonts w:cs="Times New Roman"/>
          <w:sz w:val="22"/>
          <w:szCs w:val="22"/>
        </w:rPr>
        <w:t>s</w:t>
      </w:r>
      <w:r w:rsidR="00F90B4E" w:rsidRPr="00C75D53">
        <w:rPr>
          <w:rFonts w:cs="Times New Roman"/>
          <w:sz w:val="22"/>
          <w:szCs w:val="22"/>
        </w:rPr>
        <w:t xml:space="preserve"> JET price. </w:t>
      </w:r>
    </w:p>
    <w:p w14:paraId="0878DF80" w14:textId="77777777" w:rsidR="00286841" w:rsidRPr="00C75D53" w:rsidRDefault="00286841" w:rsidP="00C75D53">
      <w:pPr>
        <w:spacing w:beforeLines="240" w:before="576" w:after="0"/>
        <w:contextualSpacing/>
        <w:rPr>
          <w:rFonts w:cs="Times New Roman"/>
          <w:b/>
          <w:bCs/>
          <w:sz w:val="22"/>
          <w:szCs w:val="22"/>
        </w:rPr>
      </w:pPr>
    </w:p>
    <w:p w14:paraId="6D7B1F2D" w14:textId="5055D929" w:rsidR="00AA3244" w:rsidRPr="00C75D53" w:rsidRDefault="00AA3244" w:rsidP="00C75D53">
      <w:pPr>
        <w:spacing w:beforeLines="240" w:before="576" w:after="0"/>
        <w:contextualSpacing/>
        <w:rPr>
          <w:rFonts w:cs="Times New Roman"/>
          <w:b/>
          <w:bCs/>
          <w:sz w:val="22"/>
          <w:szCs w:val="22"/>
        </w:rPr>
      </w:pPr>
      <w:r w:rsidRPr="00C75D53">
        <w:rPr>
          <w:rFonts w:cs="Times New Roman"/>
          <w:b/>
          <w:bCs/>
          <w:sz w:val="22"/>
          <w:szCs w:val="22"/>
        </w:rPr>
        <w:t xml:space="preserve">Correlation between </w:t>
      </w:r>
      <w:r w:rsidR="003F315D" w:rsidRPr="00C75D53">
        <w:rPr>
          <w:rFonts w:cs="Times New Roman"/>
          <w:b/>
          <w:bCs/>
          <w:sz w:val="22"/>
          <w:szCs w:val="22"/>
        </w:rPr>
        <w:t xml:space="preserve">JET, OCA and FTSE stock returns: </w:t>
      </w:r>
    </w:p>
    <w:p w14:paraId="0F36A6B9" w14:textId="654EEDB0" w:rsidR="00CE5323" w:rsidRPr="00C75D53" w:rsidRDefault="00CE5323" w:rsidP="00C75D53">
      <w:pPr>
        <w:spacing w:beforeLines="240" w:before="576" w:after="0"/>
        <w:contextualSpacing/>
        <w:rPr>
          <w:rFonts w:cs="Times New Roman"/>
          <w:b/>
          <w:bCs/>
          <w:sz w:val="22"/>
          <w:szCs w:val="22"/>
        </w:rPr>
      </w:pPr>
      <w:r w:rsidRPr="00C75D53">
        <w:rPr>
          <w:rFonts w:cs="Times New Roman"/>
          <w:b/>
          <w:bCs/>
          <w:noProof/>
          <w:sz w:val="22"/>
          <w:szCs w:val="22"/>
        </w:rPr>
        <w:drawing>
          <wp:inline distT="0" distB="0" distL="0" distR="0" wp14:anchorId="631FD92D" wp14:editId="7E2C6811">
            <wp:extent cx="5727700" cy="3842385"/>
            <wp:effectExtent l="0" t="0" r="6350" b="5715"/>
            <wp:docPr id="171953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842385"/>
                    </a:xfrm>
                    <a:prstGeom prst="rect">
                      <a:avLst/>
                    </a:prstGeom>
                    <a:noFill/>
                    <a:ln>
                      <a:noFill/>
                    </a:ln>
                  </pic:spPr>
                </pic:pic>
              </a:graphicData>
            </a:graphic>
          </wp:inline>
        </w:drawing>
      </w:r>
    </w:p>
    <w:p w14:paraId="3A5FBE11" w14:textId="3CE3B59B" w:rsidR="00286841" w:rsidRPr="00C75D53" w:rsidRDefault="00286841" w:rsidP="00C75D53">
      <w:pPr>
        <w:spacing w:beforeLines="240" w:before="576" w:after="0"/>
        <w:ind w:left="1440" w:firstLine="720"/>
        <w:contextualSpacing/>
        <w:rPr>
          <w:rFonts w:cs="Times New Roman"/>
          <w:i/>
          <w:iCs/>
          <w:sz w:val="22"/>
          <w:szCs w:val="22"/>
        </w:rPr>
      </w:pPr>
      <w:r w:rsidRPr="00C75D53">
        <w:rPr>
          <w:rFonts w:cs="Times New Roman"/>
          <w:i/>
          <w:iCs/>
          <w:sz w:val="22"/>
          <w:szCs w:val="22"/>
        </w:rPr>
        <w:t>Figure 13: Correlation between JET, OCA and FTSE stock returns</w:t>
      </w:r>
    </w:p>
    <w:p w14:paraId="5277D52C" w14:textId="060B6E0B" w:rsidR="00286841" w:rsidRPr="00C75D53" w:rsidRDefault="00286841" w:rsidP="00C75D53">
      <w:pPr>
        <w:spacing w:beforeLines="240" w:before="576" w:after="0"/>
        <w:contextualSpacing/>
        <w:rPr>
          <w:rFonts w:cs="Times New Roman"/>
          <w:i/>
          <w:iCs/>
          <w:sz w:val="22"/>
          <w:szCs w:val="22"/>
        </w:rPr>
      </w:pPr>
    </w:p>
    <w:p w14:paraId="230BCF67" w14:textId="77777777" w:rsidR="00DF4E9E" w:rsidRPr="00C75D53" w:rsidRDefault="00DF4E9E" w:rsidP="00C75D53">
      <w:pPr>
        <w:spacing w:beforeLines="240" w:before="576" w:after="0"/>
        <w:contextualSpacing/>
        <w:rPr>
          <w:rFonts w:cs="Times New Roman"/>
          <w:b/>
          <w:bCs/>
          <w:sz w:val="22"/>
          <w:szCs w:val="22"/>
        </w:rPr>
      </w:pPr>
    </w:p>
    <w:p w14:paraId="4EB1622E" w14:textId="5B19ED08" w:rsidR="00DF4E9E" w:rsidRPr="00C75D53" w:rsidRDefault="00286841" w:rsidP="00C75D53">
      <w:pPr>
        <w:spacing w:beforeLines="240" w:before="576" w:after="0"/>
        <w:ind w:left="1440" w:firstLine="720"/>
        <w:contextualSpacing/>
        <w:rPr>
          <w:rFonts w:cs="Times New Roman"/>
          <w:b/>
          <w:bCs/>
          <w:sz w:val="22"/>
          <w:szCs w:val="22"/>
        </w:rPr>
      </w:pPr>
      <w:r w:rsidRPr="00C75D53">
        <w:rPr>
          <w:rFonts w:cs="Times New Roman"/>
          <w:b/>
          <w:bCs/>
          <w:noProof/>
          <w:sz w:val="22"/>
          <w:szCs w:val="22"/>
        </w:rPr>
        <w:drawing>
          <wp:inline distT="0" distB="0" distL="0" distR="0" wp14:anchorId="0CA73329" wp14:editId="05626AEA">
            <wp:extent cx="3314987" cy="1051651"/>
            <wp:effectExtent l="0" t="0" r="0" b="0"/>
            <wp:docPr id="465344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44366" name=""/>
                    <pic:cNvPicPr/>
                  </pic:nvPicPr>
                  <pic:blipFill>
                    <a:blip r:embed="rId19"/>
                    <a:stretch>
                      <a:fillRect/>
                    </a:stretch>
                  </pic:blipFill>
                  <pic:spPr>
                    <a:xfrm>
                      <a:off x="0" y="0"/>
                      <a:ext cx="3314987" cy="1051651"/>
                    </a:xfrm>
                    <a:prstGeom prst="rect">
                      <a:avLst/>
                    </a:prstGeom>
                  </pic:spPr>
                </pic:pic>
              </a:graphicData>
            </a:graphic>
          </wp:inline>
        </w:drawing>
      </w:r>
    </w:p>
    <w:p w14:paraId="4FF47B10" w14:textId="23331EA0" w:rsidR="00286841" w:rsidRPr="00C75D53" w:rsidRDefault="00286841" w:rsidP="00C75D53">
      <w:pPr>
        <w:spacing w:beforeLines="240" w:before="576" w:after="0"/>
        <w:ind w:left="1440"/>
        <w:contextualSpacing/>
        <w:rPr>
          <w:rFonts w:cs="Times New Roman"/>
          <w:i/>
          <w:iCs/>
          <w:sz w:val="22"/>
          <w:szCs w:val="22"/>
        </w:rPr>
      </w:pPr>
      <w:r w:rsidRPr="00C75D53">
        <w:rPr>
          <w:rFonts w:cs="Times New Roman"/>
          <w:i/>
          <w:iCs/>
          <w:sz w:val="22"/>
          <w:szCs w:val="22"/>
        </w:rPr>
        <w:t>Figure 14: Results of the correlation between JET, OCA and FTSE stock returns</w:t>
      </w:r>
    </w:p>
    <w:p w14:paraId="3F88E3B6" w14:textId="77777777" w:rsidR="00DF4E9E" w:rsidRPr="00C75D53" w:rsidRDefault="00DF4E9E" w:rsidP="00C75D53">
      <w:pPr>
        <w:spacing w:beforeLines="240" w:before="576" w:after="0"/>
        <w:contextualSpacing/>
        <w:rPr>
          <w:rFonts w:cs="Times New Roman"/>
          <w:b/>
          <w:bCs/>
          <w:sz w:val="22"/>
          <w:szCs w:val="22"/>
        </w:rPr>
      </w:pPr>
    </w:p>
    <w:p w14:paraId="2A7E3412" w14:textId="7F3E94B1" w:rsidR="005A5B8D" w:rsidRPr="004A14A8" w:rsidRDefault="00286841" w:rsidP="00C75D53">
      <w:pPr>
        <w:spacing w:beforeLines="240" w:before="576" w:after="0"/>
        <w:contextualSpacing/>
        <w:rPr>
          <w:rFonts w:cs="Times New Roman"/>
          <w:sz w:val="22"/>
          <w:szCs w:val="22"/>
        </w:rPr>
      </w:pPr>
      <w:r w:rsidRPr="00C75D53">
        <w:rPr>
          <w:rFonts w:cs="Times New Roman"/>
          <w:sz w:val="22"/>
          <w:szCs w:val="22"/>
        </w:rPr>
        <w:t xml:space="preserve">The scatter matrix in </w:t>
      </w:r>
      <w:r w:rsidRPr="00C75D53">
        <w:rPr>
          <w:rFonts w:cs="Times New Roman"/>
          <w:i/>
          <w:iCs/>
          <w:sz w:val="22"/>
          <w:szCs w:val="22"/>
        </w:rPr>
        <w:t xml:space="preserve">figure 13 </w:t>
      </w:r>
      <w:r w:rsidRPr="00C75D53">
        <w:rPr>
          <w:rFonts w:cs="Times New Roman"/>
          <w:sz w:val="22"/>
          <w:szCs w:val="22"/>
        </w:rPr>
        <w:t xml:space="preserve">shows insignificant correlation between all of three stocks’ return. As could be seen in </w:t>
      </w:r>
      <w:r w:rsidRPr="00C75D53">
        <w:rPr>
          <w:rFonts w:cs="Times New Roman"/>
          <w:i/>
          <w:iCs/>
          <w:sz w:val="22"/>
          <w:szCs w:val="22"/>
        </w:rPr>
        <w:t>Figure 14</w:t>
      </w:r>
      <w:r w:rsidRPr="00C75D53">
        <w:rPr>
          <w:rFonts w:cs="Times New Roman"/>
          <w:sz w:val="22"/>
          <w:szCs w:val="22"/>
        </w:rPr>
        <w:t xml:space="preserve">, all of the R-value are lower than 50% proving that there are weak relationships. </w:t>
      </w:r>
      <w:r w:rsidR="00FF402F" w:rsidRPr="00C75D53">
        <w:rPr>
          <w:rFonts w:cs="Times New Roman"/>
          <w:sz w:val="22"/>
          <w:szCs w:val="22"/>
        </w:rPr>
        <w:t xml:space="preserve">Consequently, JET, OCA and FTSE’s stock returns are poorly affected by each other. </w:t>
      </w:r>
    </w:p>
    <w:p w14:paraId="11BC852B" w14:textId="77777777" w:rsidR="005A5B8D" w:rsidRPr="00C75D53" w:rsidRDefault="005A5B8D" w:rsidP="00C75D53">
      <w:pPr>
        <w:spacing w:beforeLines="240" w:before="576" w:after="0"/>
        <w:contextualSpacing/>
        <w:rPr>
          <w:rFonts w:cs="Times New Roman"/>
          <w:b/>
          <w:bCs/>
          <w:sz w:val="22"/>
          <w:szCs w:val="22"/>
        </w:rPr>
      </w:pPr>
    </w:p>
    <w:p w14:paraId="1898A184" w14:textId="22522BA0" w:rsidR="003F315D" w:rsidRPr="00C75D53" w:rsidRDefault="003F315D" w:rsidP="004A14A8">
      <w:pPr>
        <w:pStyle w:val="Heading3"/>
        <w:numPr>
          <w:ilvl w:val="0"/>
          <w:numId w:val="13"/>
        </w:numPr>
        <w:rPr>
          <w:rFonts w:cs="Times New Roman"/>
          <w:sz w:val="22"/>
          <w:szCs w:val="22"/>
        </w:rPr>
      </w:pPr>
      <w:bookmarkStart w:id="11" w:name="_Toc134147585"/>
      <w:r w:rsidRPr="004A14A8">
        <w:t>Regression analysis:</w:t>
      </w:r>
      <w:bookmarkEnd w:id="11"/>
      <w:r w:rsidRPr="004A14A8">
        <w:t xml:space="preserve"> </w:t>
      </w:r>
    </w:p>
    <w:p w14:paraId="0936138B" w14:textId="209DA53D" w:rsidR="009A5207" w:rsidRPr="00C75D53" w:rsidRDefault="00277B78" w:rsidP="00C75D53">
      <w:pPr>
        <w:spacing w:beforeLines="240" w:before="576" w:after="0"/>
        <w:ind w:left="360"/>
        <w:rPr>
          <w:rFonts w:cs="Times New Roman"/>
          <w:sz w:val="22"/>
          <w:szCs w:val="22"/>
        </w:rPr>
      </w:pPr>
      <w:r w:rsidRPr="00C75D53">
        <w:rPr>
          <w:rFonts w:cs="Times New Roman"/>
          <w:sz w:val="22"/>
          <w:szCs w:val="22"/>
        </w:rPr>
        <w:t xml:space="preserve">For regression analysis, </w:t>
      </w:r>
      <w:r w:rsidR="009A5207" w:rsidRPr="00C75D53">
        <w:rPr>
          <w:rFonts w:cs="Times New Roman"/>
          <w:sz w:val="22"/>
          <w:szCs w:val="22"/>
        </w:rPr>
        <w:t xml:space="preserve">the P-value shows the significant </w:t>
      </w:r>
      <w:r w:rsidRPr="00C75D53">
        <w:rPr>
          <w:rFonts w:cs="Times New Roman"/>
          <w:sz w:val="22"/>
          <w:szCs w:val="22"/>
        </w:rPr>
        <w:t>of the correlation between variables, the values lower than 0.05 indicates significant relationship and vice versa. Meanwhile, the R-squared or adjusted R-squared is used to test the strength of that relationship; R-squared value ranging from around 70% and above would imply a strong relationship</w:t>
      </w:r>
      <w:r w:rsidR="005A4340" w:rsidRPr="00C75D53">
        <w:rPr>
          <w:rFonts w:cs="Times New Roman"/>
          <w:sz w:val="22"/>
          <w:szCs w:val="22"/>
        </w:rPr>
        <w:t xml:space="preserve"> (Peng et al., 2002).</w:t>
      </w:r>
      <w:r w:rsidR="00AE2FE3" w:rsidRPr="00C75D53">
        <w:rPr>
          <w:rFonts w:cs="Times New Roman"/>
          <w:sz w:val="22"/>
          <w:szCs w:val="22"/>
        </w:rPr>
        <w:t xml:space="preserve"> </w:t>
      </w:r>
    </w:p>
    <w:p w14:paraId="5C59DD3B" w14:textId="77777777" w:rsidR="005A4340" w:rsidRPr="00C75D53" w:rsidRDefault="005A4340" w:rsidP="00C75D53">
      <w:pPr>
        <w:spacing w:beforeLines="240" w:before="576" w:after="0"/>
        <w:rPr>
          <w:rFonts w:cs="Times New Roman"/>
          <w:sz w:val="22"/>
          <w:szCs w:val="22"/>
        </w:rPr>
      </w:pPr>
    </w:p>
    <w:p w14:paraId="14DB2918" w14:textId="70F002AD" w:rsidR="005D57A9" w:rsidRPr="00C75D53" w:rsidRDefault="00B4635E" w:rsidP="00C75D53">
      <w:pPr>
        <w:spacing w:beforeLines="240" w:before="576" w:after="0"/>
        <w:ind w:firstLine="720"/>
        <w:contextualSpacing/>
        <w:rPr>
          <w:rFonts w:cs="Times New Roman"/>
          <w:sz w:val="22"/>
          <w:szCs w:val="22"/>
        </w:rPr>
      </w:pPr>
      <w:r w:rsidRPr="00C75D53">
        <w:rPr>
          <w:rFonts w:cs="Times New Roman"/>
          <w:noProof/>
          <w:sz w:val="22"/>
          <w:szCs w:val="22"/>
        </w:rPr>
        <w:drawing>
          <wp:inline distT="0" distB="0" distL="0" distR="0" wp14:anchorId="42A395D1" wp14:editId="18B74D38">
            <wp:extent cx="4351397" cy="46486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1397" cy="4648603"/>
                    </a:xfrm>
                    <a:prstGeom prst="rect">
                      <a:avLst/>
                    </a:prstGeom>
                  </pic:spPr>
                </pic:pic>
              </a:graphicData>
            </a:graphic>
          </wp:inline>
        </w:drawing>
      </w:r>
    </w:p>
    <w:p w14:paraId="0E568883" w14:textId="0A2FF8F1" w:rsidR="007623BE" w:rsidRPr="00C75D53" w:rsidRDefault="007623BE" w:rsidP="00C75D53">
      <w:pPr>
        <w:spacing w:beforeLines="240" w:before="576" w:after="0"/>
        <w:ind w:left="1440" w:firstLine="720"/>
        <w:contextualSpacing/>
        <w:rPr>
          <w:rFonts w:cs="Times New Roman"/>
          <w:i/>
          <w:iCs/>
          <w:sz w:val="22"/>
          <w:szCs w:val="22"/>
        </w:rPr>
      </w:pPr>
      <w:r w:rsidRPr="00C75D53">
        <w:rPr>
          <w:rFonts w:cs="Times New Roman"/>
          <w:i/>
          <w:iCs/>
          <w:sz w:val="22"/>
          <w:szCs w:val="22"/>
        </w:rPr>
        <w:t xml:space="preserve">Figure 15: JET and OCA price regression </w:t>
      </w:r>
      <w:r w:rsidR="0024623B" w:rsidRPr="00C75D53">
        <w:rPr>
          <w:rFonts w:cs="Times New Roman"/>
          <w:i/>
          <w:iCs/>
          <w:sz w:val="22"/>
          <w:szCs w:val="22"/>
        </w:rPr>
        <w:t>result</w:t>
      </w:r>
      <w:r w:rsidR="001A2679" w:rsidRPr="00C75D53">
        <w:rPr>
          <w:rFonts w:cs="Times New Roman"/>
          <w:i/>
          <w:iCs/>
          <w:sz w:val="22"/>
          <w:szCs w:val="22"/>
        </w:rPr>
        <w:t>s</w:t>
      </w:r>
    </w:p>
    <w:p w14:paraId="419EDA62" w14:textId="77777777" w:rsidR="005A5B8D" w:rsidRPr="00C75D53" w:rsidRDefault="005A5B8D" w:rsidP="00C75D53">
      <w:pPr>
        <w:spacing w:beforeLines="240" w:before="576" w:after="0"/>
        <w:ind w:left="1440" w:firstLine="720"/>
        <w:contextualSpacing/>
        <w:rPr>
          <w:rFonts w:cs="Times New Roman"/>
          <w:i/>
          <w:iCs/>
          <w:sz w:val="22"/>
          <w:szCs w:val="22"/>
        </w:rPr>
      </w:pPr>
    </w:p>
    <w:p w14:paraId="4BFF15DE" w14:textId="12742B6E" w:rsidR="007623BE" w:rsidRPr="00C75D53" w:rsidRDefault="007623BE" w:rsidP="00C75D53">
      <w:pPr>
        <w:spacing w:beforeLines="240" w:before="576" w:after="0"/>
        <w:contextualSpacing/>
        <w:rPr>
          <w:rFonts w:cs="Times New Roman"/>
          <w:sz w:val="22"/>
          <w:szCs w:val="22"/>
        </w:rPr>
      </w:pPr>
      <w:r w:rsidRPr="00C75D53">
        <w:rPr>
          <w:rFonts w:cs="Times New Roman"/>
          <w:sz w:val="22"/>
          <w:szCs w:val="22"/>
        </w:rPr>
        <w:t xml:space="preserve">The results of JET and OCA regression is shown in </w:t>
      </w:r>
      <w:r w:rsidRPr="00C75D53">
        <w:rPr>
          <w:rFonts w:cs="Times New Roman"/>
          <w:i/>
          <w:iCs/>
          <w:sz w:val="22"/>
          <w:szCs w:val="22"/>
        </w:rPr>
        <w:t xml:space="preserve">figure 15 </w:t>
      </w:r>
      <w:r w:rsidRPr="00C75D53">
        <w:rPr>
          <w:rFonts w:cs="Times New Roman"/>
          <w:sz w:val="22"/>
          <w:szCs w:val="22"/>
        </w:rPr>
        <w:t xml:space="preserve">in which the P-value is 2.51E-157 which is much smaller than 0.05 meaning that there is a significant relationship between JET and its competitor. Since this is a </w:t>
      </w:r>
      <w:r w:rsidR="00355EB3" w:rsidRPr="00C75D53">
        <w:rPr>
          <w:rFonts w:cs="Times New Roman"/>
          <w:sz w:val="22"/>
          <w:szCs w:val="22"/>
        </w:rPr>
        <w:t>linear</w:t>
      </w:r>
      <w:r w:rsidRPr="00C75D53">
        <w:rPr>
          <w:rFonts w:cs="Times New Roman"/>
          <w:sz w:val="22"/>
          <w:szCs w:val="22"/>
        </w:rPr>
        <w:t xml:space="preserve"> regression, R-squared is examined to test the strength of this relationship. In this case, R-squared value is 77.8 %, which is relatively high, showing that JET stock price is strongly affected by the change in OCA’s stock price.</w:t>
      </w:r>
      <w:r w:rsidR="0024623B" w:rsidRPr="00C75D53">
        <w:rPr>
          <w:rFonts w:cs="Times New Roman"/>
          <w:sz w:val="22"/>
          <w:szCs w:val="22"/>
        </w:rPr>
        <w:t xml:space="preserve"> This strong relationship is further displayed in </w:t>
      </w:r>
      <w:r w:rsidR="0024623B" w:rsidRPr="00C75D53">
        <w:rPr>
          <w:rFonts w:cs="Times New Roman"/>
          <w:i/>
          <w:iCs/>
          <w:sz w:val="22"/>
          <w:szCs w:val="22"/>
        </w:rPr>
        <w:t xml:space="preserve">figure 16 </w:t>
      </w:r>
      <w:r w:rsidR="0024623B" w:rsidRPr="00C75D53">
        <w:rPr>
          <w:rFonts w:cs="Times New Roman"/>
          <w:sz w:val="22"/>
          <w:szCs w:val="22"/>
        </w:rPr>
        <w:t xml:space="preserve">below. </w:t>
      </w:r>
      <w:r w:rsidRPr="00C75D53">
        <w:rPr>
          <w:rFonts w:cs="Times New Roman"/>
          <w:sz w:val="22"/>
          <w:szCs w:val="22"/>
        </w:rPr>
        <w:t xml:space="preserve">   </w:t>
      </w:r>
    </w:p>
    <w:p w14:paraId="61929F49" w14:textId="767692C1" w:rsidR="00B4635E" w:rsidRPr="00C75D53" w:rsidRDefault="005D57A9" w:rsidP="00C75D53">
      <w:pPr>
        <w:spacing w:beforeLines="240" w:before="576" w:after="0"/>
        <w:contextualSpacing/>
        <w:rPr>
          <w:rFonts w:cs="Times New Roman"/>
          <w:sz w:val="22"/>
          <w:szCs w:val="22"/>
        </w:rPr>
      </w:pPr>
      <w:r w:rsidRPr="00C75D53">
        <w:rPr>
          <w:rFonts w:cs="Times New Roman"/>
          <w:noProof/>
          <w:sz w:val="22"/>
          <w:szCs w:val="22"/>
        </w:rPr>
        <w:lastRenderedPageBreak/>
        <w:drawing>
          <wp:inline distT="0" distB="0" distL="0" distR="0" wp14:anchorId="78CF925B" wp14:editId="53B8CC9B">
            <wp:extent cx="4472143" cy="261366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4920" cy="2621127"/>
                    </a:xfrm>
                    <a:prstGeom prst="rect">
                      <a:avLst/>
                    </a:prstGeom>
                    <a:noFill/>
                    <a:ln>
                      <a:noFill/>
                    </a:ln>
                  </pic:spPr>
                </pic:pic>
              </a:graphicData>
            </a:graphic>
          </wp:inline>
        </w:drawing>
      </w:r>
    </w:p>
    <w:p w14:paraId="337A9537" w14:textId="0609E61F" w:rsidR="0024623B" w:rsidRPr="00C75D53" w:rsidRDefault="0024623B" w:rsidP="00C75D53">
      <w:pPr>
        <w:spacing w:beforeLines="240" w:before="576" w:after="0"/>
        <w:ind w:left="1440"/>
        <w:contextualSpacing/>
        <w:rPr>
          <w:rFonts w:cs="Times New Roman"/>
          <w:i/>
          <w:iCs/>
          <w:sz w:val="22"/>
          <w:szCs w:val="22"/>
        </w:rPr>
      </w:pPr>
      <w:r w:rsidRPr="00C75D53">
        <w:rPr>
          <w:rFonts w:cs="Times New Roman"/>
          <w:i/>
          <w:iCs/>
          <w:sz w:val="22"/>
          <w:szCs w:val="22"/>
        </w:rPr>
        <w:t>Figure 16: JET and OCA price regression scatter plot</w:t>
      </w:r>
    </w:p>
    <w:p w14:paraId="3AB0DB52" w14:textId="27319091" w:rsidR="005D57A9" w:rsidRPr="00C75D53" w:rsidRDefault="00B4635E" w:rsidP="00C75D53">
      <w:pPr>
        <w:spacing w:beforeLines="240" w:before="576" w:after="0"/>
        <w:ind w:left="720" w:firstLine="720"/>
        <w:contextualSpacing/>
        <w:rPr>
          <w:rFonts w:cs="Times New Roman"/>
          <w:sz w:val="22"/>
          <w:szCs w:val="22"/>
        </w:rPr>
      </w:pPr>
      <w:r w:rsidRPr="00C75D53">
        <w:rPr>
          <w:rFonts w:cs="Times New Roman"/>
          <w:noProof/>
          <w:sz w:val="22"/>
          <w:szCs w:val="22"/>
        </w:rPr>
        <w:drawing>
          <wp:inline distT="0" distB="0" distL="0" distR="0" wp14:anchorId="5A4A5FE4" wp14:editId="724DA14A">
            <wp:extent cx="4290432" cy="43437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0432" cy="4343776"/>
                    </a:xfrm>
                    <a:prstGeom prst="rect">
                      <a:avLst/>
                    </a:prstGeom>
                  </pic:spPr>
                </pic:pic>
              </a:graphicData>
            </a:graphic>
          </wp:inline>
        </w:drawing>
      </w:r>
    </w:p>
    <w:p w14:paraId="53674E09" w14:textId="171B3794" w:rsidR="0024623B" w:rsidRPr="00C75D53" w:rsidRDefault="0024623B" w:rsidP="00C75D53">
      <w:pPr>
        <w:spacing w:beforeLines="240" w:before="576" w:after="0"/>
        <w:ind w:left="1440" w:firstLine="720"/>
        <w:contextualSpacing/>
        <w:rPr>
          <w:rFonts w:cs="Times New Roman"/>
          <w:noProof/>
          <w:sz w:val="22"/>
          <w:szCs w:val="22"/>
        </w:rPr>
      </w:pPr>
      <w:r w:rsidRPr="00C75D53">
        <w:rPr>
          <w:rFonts w:cs="Times New Roman"/>
          <w:i/>
          <w:iCs/>
          <w:sz w:val="22"/>
          <w:szCs w:val="22"/>
        </w:rPr>
        <w:t>Figure 17: JET and FTSE price regression result</w:t>
      </w:r>
      <w:r w:rsidR="001A2679" w:rsidRPr="00C75D53">
        <w:rPr>
          <w:rFonts w:cs="Times New Roman"/>
          <w:i/>
          <w:iCs/>
          <w:sz w:val="22"/>
          <w:szCs w:val="22"/>
        </w:rPr>
        <w:t>s</w:t>
      </w:r>
      <w:r w:rsidRPr="00C75D53">
        <w:rPr>
          <w:rFonts w:cs="Times New Roman"/>
          <w:noProof/>
          <w:sz w:val="22"/>
          <w:szCs w:val="22"/>
        </w:rPr>
        <w:t xml:space="preserve"> </w:t>
      </w:r>
    </w:p>
    <w:p w14:paraId="091A10C3" w14:textId="59AC06DB" w:rsidR="0024623B" w:rsidRPr="00C75D53" w:rsidRDefault="0024623B" w:rsidP="00C75D53">
      <w:pPr>
        <w:spacing w:beforeLines="240" w:before="576" w:after="0"/>
        <w:contextualSpacing/>
        <w:rPr>
          <w:rFonts w:cs="Times New Roman"/>
          <w:noProof/>
          <w:sz w:val="22"/>
          <w:szCs w:val="22"/>
        </w:rPr>
      </w:pPr>
    </w:p>
    <w:p w14:paraId="08C71CE4" w14:textId="77777777" w:rsidR="0024623B" w:rsidRPr="00C75D53" w:rsidRDefault="0024623B" w:rsidP="00C75D53">
      <w:pPr>
        <w:spacing w:beforeLines="240" w:before="576" w:after="0"/>
        <w:contextualSpacing/>
        <w:rPr>
          <w:rFonts w:cs="Times New Roman"/>
          <w:noProof/>
          <w:sz w:val="22"/>
          <w:szCs w:val="22"/>
        </w:rPr>
      </w:pPr>
    </w:p>
    <w:p w14:paraId="17B5D4B0" w14:textId="4801D14C" w:rsidR="005D57A9" w:rsidRPr="00C75D53" w:rsidRDefault="005D57A9" w:rsidP="00C75D53">
      <w:pPr>
        <w:spacing w:beforeLines="240" w:before="576" w:after="0"/>
        <w:contextualSpacing/>
        <w:rPr>
          <w:rFonts w:cs="Times New Roman"/>
          <w:sz w:val="22"/>
          <w:szCs w:val="22"/>
        </w:rPr>
      </w:pPr>
      <w:r w:rsidRPr="00C75D53">
        <w:rPr>
          <w:rFonts w:cs="Times New Roman"/>
          <w:noProof/>
          <w:sz w:val="22"/>
          <w:szCs w:val="22"/>
        </w:rPr>
        <w:lastRenderedPageBreak/>
        <w:drawing>
          <wp:inline distT="0" distB="0" distL="0" distR="0" wp14:anchorId="06725DE2" wp14:editId="564997D6">
            <wp:extent cx="5415915" cy="3669323"/>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8243" cy="3670900"/>
                    </a:xfrm>
                    <a:prstGeom prst="rect">
                      <a:avLst/>
                    </a:prstGeom>
                    <a:noFill/>
                    <a:ln>
                      <a:noFill/>
                    </a:ln>
                  </pic:spPr>
                </pic:pic>
              </a:graphicData>
            </a:graphic>
          </wp:inline>
        </w:drawing>
      </w:r>
    </w:p>
    <w:p w14:paraId="270F3326" w14:textId="20608F8D" w:rsidR="0024623B" w:rsidRPr="00C75D53" w:rsidRDefault="0024623B" w:rsidP="00C75D53">
      <w:pPr>
        <w:spacing w:beforeLines="240" w:before="576" w:after="0"/>
        <w:ind w:left="1440" w:firstLine="720"/>
        <w:contextualSpacing/>
        <w:rPr>
          <w:rFonts w:cs="Times New Roman"/>
          <w:i/>
          <w:iCs/>
          <w:sz w:val="22"/>
          <w:szCs w:val="22"/>
        </w:rPr>
      </w:pPr>
      <w:r w:rsidRPr="00C75D53">
        <w:rPr>
          <w:rFonts w:cs="Times New Roman"/>
          <w:i/>
          <w:iCs/>
          <w:sz w:val="22"/>
          <w:szCs w:val="22"/>
        </w:rPr>
        <w:t>Figure 18: JET and FTSE price regression scatter plot</w:t>
      </w:r>
    </w:p>
    <w:p w14:paraId="291B8DA1" w14:textId="77777777" w:rsidR="005A5B8D" w:rsidRPr="00C75D53" w:rsidRDefault="005A5B8D" w:rsidP="00C75D53">
      <w:pPr>
        <w:spacing w:beforeLines="240" w:before="576" w:after="0"/>
        <w:ind w:left="1440" w:firstLine="720"/>
        <w:contextualSpacing/>
        <w:rPr>
          <w:rFonts w:cs="Times New Roman"/>
          <w:i/>
          <w:iCs/>
          <w:sz w:val="22"/>
          <w:szCs w:val="22"/>
        </w:rPr>
      </w:pPr>
    </w:p>
    <w:p w14:paraId="66E49ACE" w14:textId="60428B7D" w:rsidR="0024623B" w:rsidRPr="00C75D53" w:rsidRDefault="0024623B" w:rsidP="00C75D53">
      <w:pPr>
        <w:spacing w:beforeLines="240" w:before="576" w:after="0"/>
        <w:contextualSpacing/>
        <w:rPr>
          <w:rFonts w:cs="Times New Roman"/>
          <w:sz w:val="22"/>
          <w:szCs w:val="22"/>
        </w:rPr>
      </w:pPr>
      <w:r w:rsidRPr="00C75D53">
        <w:rPr>
          <w:rFonts w:cs="Times New Roman"/>
          <w:sz w:val="22"/>
          <w:szCs w:val="22"/>
        </w:rPr>
        <w:t xml:space="preserve">The result in </w:t>
      </w:r>
      <w:r w:rsidRPr="00C75D53">
        <w:rPr>
          <w:rFonts w:cs="Times New Roman"/>
          <w:i/>
          <w:iCs/>
          <w:sz w:val="22"/>
          <w:szCs w:val="22"/>
        </w:rPr>
        <w:t>figure 17</w:t>
      </w:r>
      <w:r w:rsidR="001A2679" w:rsidRPr="00C75D53">
        <w:rPr>
          <w:rFonts w:cs="Times New Roman"/>
          <w:i/>
          <w:iCs/>
          <w:sz w:val="22"/>
          <w:szCs w:val="22"/>
        </w:rPr>
        <w:t xml:space="preserve"> </w:t>
      </w:r>
      <w:r w:rsidR="001A2679" w:rsidRPr="00C75D53">
        <w:rPr>
          <w:rFonts w:cs="Times New Roman"/>
          <w:sz w:val="22"/>
          <w:szCs w:val="22"/>
        </w:rPr>
        <w:t xml:space="preserve">and </w:t>
      </w:r>
      <w:r w:rsidR="001A2679" w:rsidRPr="00C75D53">
        <w:rPr>
          <w:rFonts w:cs="Times New Roman"/>
          <w:i/>
          <w:iCs/>
          <w:sz w:val="22"/>
          <w:szCs w:val="22"/>
        </w:rPr>
        <w:t>figure 18</w:t>
      </w:r>
      <w:r w:rsidRPr="00C75D53">
        <w:rPr>
          <w:rFonts w:cs="Times New Roman"/>
          <w:i/>
          <w:iCs/>
          <w:sz w:val="22"/>
          <w:szCs w:val="22"/>
        </w:rPr>
        <w:t xml:space="preserve"> </w:t>
      </w:r>
      <w:r w:rsidRPr="00C75D53">
        <w:rPr>
          <w:rFonts w:cs="Times New Roman"/>
          <w:sz w:val="22"/>
          <w:szCs w:val="22"/>
        </w:rPr>
        <w:t>also indicates a significant correlation between JET and FTSE as the P-value is much lower than 0.05, at 1.39E-68. However, this connection is weak because of the low 47.2% R-squared meaning the adjustment in FTSE stock price only account for less than 50% of the change in JET stock price</w:t>
      </w:r>
      <w:r w:rsidR="001A2679" w:rsidRPr="00C75D53">
        <w:rPr>
          <w:rFonts w:cs="Times New Roman"/>
          <w:sz w:val="22"/>
          <w:szCs w:val="22"/>
        </w:rPr>
        <w:t xml:space="preserve">. </w:t>
      </w:r>
      <w:r w:rsidRPr="00C75D53">
        <w:rPr>
          <w:rFonts w:cs="Times New Roman"/>
          <w:sz w:val="22"/>
          <w:szCs w:val="22"/>
        </w:rPr>
        <w:t xml:space="preserve"> </w:t>
      </w:r>
    </w:p>
    <w:p w14:paraId="327674B3" w14:textId="77777777" w:rsidR="001A2679" w:rsidRPr="00C75D53" w:rsidRDefault="001A2679" w:rsidP="00C75D53">
      <w:pPr>
        <w:spacing w:beforeLines="240" w:before="576" w:after="0"/>
        <w:contextualSpacing/>
        <w:rPr>
          <w:rFonts w:cs="Times New Roman"/>
          <w:sz w:val="22"/>
          <w:szCs w:val="22"/>
        </w:rPr>
      </w:pPr>
    </w:p>
    <w:p w14:paraId="7305CC61" w14:textId="783D9489" w:rsidR="00F00115" w:rsidRPr="00C75D53" w:rsidRDefault="00F00115" w:rsidP="00C75D53">
      <w:pPr>
        <w:spacing w:beforeLines="240" w:before="576" w:after="0"/>
        <w:contextualSpacing/>
        <w:rPr>
          <w:rFonts w:cs="Times New Roman"/>
          <w:sz w:val="22"/>
          <w:szCs w:val="22"/>
        </w:rPr>
      </w:pPr>
      <w:r w:rsidRPr="00C75D53">
        <w:rPr>
          <w:rFonts w:cs="Times New Roman"/>
          <w:noProof/>
          <w:sz w:val="22"/>
          <w:szCs w:val="22"/>
        </w:rPr>
        <w:lastRenderedPageBreak/>
        <w:drawing>
          <wp:inline distT="0" distB="0" distL="0" distR="0" wp14:anchorId="6D7853D6" wp14:editId="3C35338D">
            <wp:extent cx="4549534" cy="4473328"/>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9534" cy="4473328"/>
                    </a:xfrm>
                    <a:prstGeom prst="rect">
                      <a:avLst/>
                    </a:prstGeom>
                  </pic:spPr>
                </pic:pic>
              </a:graphicData>
            </a:graphic>
          </wp:inline>
        </w:drawing>
      </w:r>
    </w:p>
    <w:p w14:paraId="415B1725" w14:textId="0B820C36" w:rsidR="001A2679" w:rsidRPr="00C75D53" w:rsidRDefault="001A2679" w:rsidP="00C75D53">
      <w:pPr>
        <w:spacing w:beforeLines="240" w:before="576" w:after="0"/>
        <w:contextualSpacing/>
        <w:rPr>
          <w:rFonts w:cs="Times New Roman"/>
          <w:i/>
          <w:iCs/>
          <w:sz w:val="22"/>
          <w:szCs w:val="22"/>
        </w:rPr>
      </w:pPr>
      <w:r w:rsidRPr="00C75D53">
        <w:rPr>
          <w:rFonts w:cs="Times New Roman"/>
          <w:i/>
          <w:iCs/>
          <w:sz w:val="22"/>
          <w:szCs w:val="22"/>
        </w:rPr>
        <w:t>Figure 19: JET, OCA and FTSE price regression results</w:t>
      </w:r>
    </w:p>
    <w:p w14:paraId="5E3F5D8C" w14:textId="77777777" w:rsidR="005A5B8D" w:rsidRPr="00C75D53" w:rsidRDefault="005A5B8D" w:rsidP="00C75D53">
      <w:pPr>
        <w:spacing w:beforeLines="240" w:before="576" w:after="0"/>
        <w:contextualSpacing/>
        <w:rPr>
          <w:rFonts w:cs="Times New Roman"/>
          <w:i/>
          <w:iCs/>
          <w:sz w:val="22"/>
          <w:szCs w:val="22"/>
        </w:rPr>
      </w:pPr>
    </w:p>
    <w:p w14:paraId="2E9CABAE" w14:textId="2CA6D96B" w:rsidR="001A2679" w:rsidRPr="00C75D53" w:rsidRDefault="001A2679" w:rsidP="00C75D53">
      <w:pPr>
        <w:spacing w:beforeLines="240" w:before="576" w:after="0"/>
        <w:contextualSpacing/>
        <w:rPr>
          <w:rFonts w:cs="Times New Roman"/>
          <w:sz w:val="22"/>
          <w:szCs w:val="22"/>
        </w:rPr>
      </w:pPr>
      <w:r w:rsidRPr="00C75D53">
        <w:rPr>
          <w:rFonts w:cs="Times New Roman"/>
          <w:sz w:val="22"/>
          <w:szCs w:val="22"/>
        </w:rPr>
        <w:t xml:space="preserve">The multiple regression result in </w:t>
      </w:r>
      <w:r w:rsidRPr="00C75D53">
        <w:rPr>
          <w:rFonts w:cs="Times New Roman"/>
          <w:i/>
          <w:iCs/>
          <w:sz w:val="22"/>
          <w:szCs w:val="22"/>
        </w:rPr>
        <w:t>figure 19</w:t>
      </w:r>
      <w:r w:rsidRPr="00C75D53">
        <w:rPr>
          <w:rFonts w:cs="Times New Roman"/>
          <w:sz w:val="22"/>
          <w:szCs w:val="22"/>
        </w:rPr>
        <w:t xml:space="preserve"> shows a significant correlation between JET, OCA and FTSE with the P-value of 2.51E-157, lower than 0.05. Moreover, the high adjusted R-squared value at 77.7% proves that this correlation is strong meaning that JET’s price could be highly influenced by the others two. </w:t>
      </w:r>
      <w:r w:rsidR="00081BF5" w:rsidRPr="00C75D53">
        <w:rPr>
          <w:rFonts w:cs="Times New Roman"/>
          <w:sz w:val="22"/>
          <w:szCs w:val="22"/>
        </w:rPr>
        <w:t>In comparison, FTSE price’s</w:t>
      </w:r>
      <w:r w:rsidRPr="00C75D53">
        <w:rPr>
          <w:rFonts w:cs="Times New Roman"/>
          <w:sz w:val="22"/>
          <w:szCs w:val="22"/>
        </w:rPr>
        <w:t xml:space="preserve"> P-value </w:t>
      </w:r>
      <w:r w:rsidR="00081BF5" w:rsidRPr="00C75D53">
        <w:rPr>
          <w:rFonts w:cs="Times New Roman"/>
          <w:sz w:val="22"/>
          <w:szCs w:val="22"/>
        </w:rPr>
        <w:t>is</w:t>
      </w:r>
      <w:r w:rsidRPr="00C75D53">
        <w:rPr>
          <w:rFonts w:cs="Times New Roman"/>
          <w:sz w:val="22"/>
          <w:szCs w:val="22"/>
        </w:rPr>
        <w:t xml:space="preserve"> </w:t>
      </w:r>
      <w:r w:rsidR="00081BF5" w:rsidRPr="00C75D53">
        <w:rPr>
          <w:rFonts w:cs="Times New Roman"/>
          <w:sz w:val="22"/>
          <w:szCs w:val="22"/>
        </w:rPr>
        <w:t xml:space="preserve">3.32E-92 which is lower than OCA price’s P-value of </w:t>
      </w:r>
      <w:r w:rsidRPr="00C75D53">
        <w:rPr>
          <w:rFonts w:cs="Times New Roman"/>
          <w:sz w:val="22"/>
          <w:szCs w:val="22"/>
        </w:rPr>
        <w:t>2.946E-91</w:t>
      </w:r>
      <w:r w:rsidR="00081BF5" w:rsidRPr="00C75D53">
        <w:rPr>
          <w:rFonts w:cs="Times New Roman"/>
          <w:sz w:val="22"/>
          <w:szCs w:val="22"/>
        </w:rPr>
        <w:t xml:space="preserve"> meaning the impact of FTSE stock on JET stock is </w:t>
      </w:r>
      <w:r w:rsidR="00AB2AF2" w:rsidRPr="00C75D53">
        <w:rPr>
          <w:rFonts w:cs="Times New Roman"/>
          <w:sz w:val="22"/>
          <w:szCs w:val="22"/>
        </w:rPr>
        <w:t>more significant</w:t>
      </w:r>
      <w:r w:rsidR="00081BF5" w:rsidRPr="00C75D53">
        <w:rPr>
          <w:rFonts w:cs="Times New Roman"/>
          <w:sz w:val="22"/>
          <w:szCs w:val="22"/>
        </w:rPr>
        <w:t xml:space="preserve"> </w:t>
      </w:r>
      <w:r w:rsidR="00355EB3" w:rsidRPr="00C75D53">
        <w:rPr>
          <w:rFonts w:cs="Times New Roman"/>
          <w:sz w:val="22"/>
          <w:szCs w:val="22"/>
        </w:rPr>
        <w:t xml:space="preserve">than </w:t>
      </w:r>
      <w:r w:rsidR="00081BF5" w:rsidRPr="00C75D53">
        <w:rPr>
          <w:rFonts w:cs="Times New Roman"/>
          <w:sz w:val="22"/>
          <w:szCs w:val="22"/>
        </w:rPr>
        <w:t xml:space="preserve">OCA stock in this relationship. </w:t>
      </w:r>
    </w:p>
    <w:p w14:paraId="1F66A812" w14:textId="5D169CF9" w:rsidR="003F315D" w:rsidRPr="00C75D53" w:rsidRDefault="003F315D" w:rsidP="00C75D53">
      <w:pPr>
        <w:spacing w:beforeLines="240" w:before="576" w:after="0"/>
        <w:contextualSpacing/>
        <w:rPr>
          <w:rFonts w:cs="Times New Roman"/>
          <w:sz w:val="22"/>
          <w:szCs w:val="22"/>
        </w:rPr>
      </w:pPr>
    </w:p>
    <w:p w14:paraId="5039066F" w14:textId="3D16C98D" w:rsidR="0082250E" w:rsidRPr="00ED0CF6" w:rsidRDefault="0082250E" w:rsidP="00ED0CF6">
      <w:pPr>
        <w:pStyle w:val="Heading2"/>
        <w:numPr>
          <w:ilvl w:val="0"/>
          <w:numId w:val="11"/>
        </w:numPr>
      </w:pPr>
      <w:bookmarkStart w:id="12" w:name="_Toc134147586"/>
      <w:r w:rsidRPr="00ED0CF6">
        <w:lastRenderedPageBreak/>
        <w:t>Time Series Analysis</w:t>
      </w:r>
      <w:bookmarkEnd w:id="12"/>
    </w:p>
    <w:p w14:paraId="6567BECC" w14:textId="4627C680" w:rsidR="0082250E" w:rsidRPr="004A14A8" w:rsidRDefault="0082250E" w:rsidP="004A14A8">
      <w:pPr>
        <w:pStyle w:val="Heading3"/>
        <w:numPr>
          <w:ilvl w:val="0"/>
          <w:numId w:val="14"/>
        </w:numPr>
      </w:pPr>
      <w:bookmarkStart w:id="13" w:name="_Toc134147587"/>
      <w:r w:rsidRPr="004A14A8">
        <w:t>Moving Average</w:t>
      </w:r>
      <w:bookmarkEnd w:id="13"/>
    </w:p>
    <w:p w14:paraId="196C04A1" w14:textId="690D9009" w:rsidR="00F00115" w:rsidRPr="00C75D53" w:rsidRDefault="007A73A6" w:rsidP="00C75D53">
      <w:pPr>
        <w:spacing w:beforeLines="240" w:before="576" w:after="0"/>
        <w:contextualSpacing/>
        <w:rPr>
          <w:rFonts w:cs="Times New Roman"/>
          <w:sz w:val="22"/>
          <w:szCs w:val="22"/>
        </w:rPr>
      </w:pPr>
      <w:r w:rsidRPr="00C75D53">
        <w:rPr>
          <w:rFonts w:cs="Times New Roman"/>
          <w:noProof/>
          <w:sz w:val="22"/>
          <w:szCs w:val="22"/>
        </w:rPr>
        <w:drawing>
          <wp:inline distT="0" distB="0" distL="0" distR="0" wp14:anchorId="485B96D1" wp14:editId="6587DE9A">
            <wp:extent cx="5727700" cy="3747770"/>
            <wp:effectExtent l="0" t="0" r="6350" b="5080"/>
            <wp:docPr id="1442721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21853" name=""/>
                    <pic:cNvPicPr/>
                  </pic:nvPicPr>
                  <pic:blipFill>
                    <a:blip r:embed="rId25"/>
                    <a:stretch>
                      <a:fillRect/>
                    </a:stretch>
                  </pic:blipFill>
                  <pic:spPr>
                    <a:xfrm>
                      <a:off x="0" y="0"/>
                      <a:ext cx="5727700" cy="3747770"/>
                    </a:xfrm>
                    <a:prstGeom prst="rect">
                      <a:avLst/>
                    </a:prstGeom>
                  </pic:spPr>
                </pic:pic>
              </a:graphicData>
            </a:graphic>
          </wp:inline>
        </w:drawing>
      </w:r>
    </w:p>
    <w:p w14:paraId="176E2DEC" w14:textId="4359B5A3" w:rsidR="007623BE" w:rsidRPr="00C75D53" w:rsidRDefault="007623BE" w:rsidP="00C75D53">
      <w:pPr>
        <w:spacing w:beforeLines="240" w:before="576" w:after="0"/>
        <w:ind w:left="2160" w:firstLine="720"/>
        <w:contextualSpacing/>
        <w:rPr>
          <w:rFonts w:cs="Times New Roman"/>
          <w:i/>
          <w:iCs/>
          <w:sz w:val="22"/>
          <w:szCs w:val="22"/>
        </w:rPr>
      </w:pPr>
      <w:r w:rsidRPr="00C75D53">
        <w:rPr>
          <w:rFonts w:cs="Times New Roman"/>
          <w:i/>
          <w:iCs/>
          <w:sz w:val="22"/>
          <w:szCs w:val="22"/>
        </w:rPr>
        <w:t>Figure</w:t>
      </w:r>
      <w:r w:rsidR="005A5B8D" w:rsidRPr="00C75D53">
        <w:rPr>
          <w:rFonts w:cs="Times New Roman"/>
          <w:i/>
          <w:iCs/>
          <w:sz w:val="22"/>
          <w:szCs w:val="22"/>
        </w:rPr>
        <w:t xml:space="preserve"> 20: JET price moving average </w:t>
      </w:r>
    </w:p>
    <w:p w14:paraId="76C68650" w14:textId="77777777" w:rsidR="00E179FB" w:rsidRPr="00C75D53" w:rsidRDefault="00E179FB" w:rsidP="00C75D53">
      <w:pPr>
        <w:spacing w:beforeLines="240" w:before="576" w:after="0"/>
        <w:contextualSpacing/>
        <w:rPr>
          <w:rFonts w:cs="Times New Roman"/>
          <w:i/>
          <w:iCs/>
          <w:sz w:val="22"/>
          <w:szCs w:val="22"/>
        </w:rPr>
      </w:pPr>
    </w:p>
    <w:p w14:paraId="48CA8E6A" w14:textId="5079B670" w:rsidR="00E179FB" w:rsidRPr="00C75D53" w:rsidRDefault="00E179FB" w:rsidP="00C75D53">
      <w:pPr>
        <w:spacing w:beforeLines="240" w:before="576" w:after="0"/>
        <w:contextualSpacing/>
        <w:rPr>
          <w:rFonts w:cs="Times New Roman"/>
          <w:sz w:val="22"/>
          <w:szCs w:val="22"/>
        </w:rPr>
      </w:pPr>
      <w:r w:rsidRPr="00C75D53">
        <w:rPr>
          <w:rFonts w:cs="Times New Roman"/>
          <w:i/>
          <w:iCs/>
          <w:sz w:val="22"/>
          <w:szCs w:val="22"/>
        </w:rPr>
        <w:t>Figure 20</w:t>
      </w:r>
      <w:r w:rsidRPr="00C75D53">
        <w:rPr>
          <w:rFonts w:cs="Times New Roman"/>
          <w:sz w:val="22"/>
          <w:szCs w:val="22"/>
        </w:rPr>
        <w:t xml:space="preserve"> illustrates the original price of JET with a 5-day short-term moving average and a 20-day long-term moving average. In this case, the buying and selling signals are determined by the Golden cross and </w:t>
      </w:r>
      <w:r w:rsidR="007A73A6" w:rsidRPr="00C75D53">
        <w:rPr>
          <w:rFonts w:cs="Times New Roman"/>
          <w:sz w:val="22"/>
          <w:szCs w:val="22"/>
        </w:rPr>
        <w:t xml:space="preserve">the </w:t>
      </w:r>
      <w:r w:rsidRPr="00C75D53">
        <w:rPr>
          <w:rFonts w:cs="Times New Roman"/>
          <w:sz w:val="22"/>
          <w:szCs w:val="22"/>
        </w:rPr>
        <w:t>Death cross. In detail, Golden cross appears when the short-term moving average is shifting upward and meet the long-term moving average while it is dropping</w:t>
      </w:r>
      <w:r w:rsidR="005D4493" w:rsidRPr="00C75D53">
        <w:rPr>
          <w:rFonts w:cs="Times New Roman"/>
          <w:sz w:val="22"/>
          <w:szCs w:val="22"/>
        </w:rPr>
        <w:t xml:space="preserve"> (The Investopedia Team, 2022)</w:t>
      </w:r>
      <w:r w:rsidRPr="00C75D53">
        <w:rPr>
          <w:rFonts w:cs="Times New Roman"/>
          <w:sz w:val="22"/>
          <w:szCs w:val="22"/>
        </w:rPr>
        <w:t xml:space="preserve">. </w:t>
      </w:r>
      <w:r w:rsidR="007A73A6" w:rsidRPr="00C75D53">
        <w:rPr>
          <w:rFonts w:cs="Times New Roman"/>
          <w:sz w:val="22"/>
          <w:szCs w:val="22"/>
        </w:rPr>
        <w:t>Meanwhile, the pattern for Death cross is completely opposite. The Golden cross represents a good selling signal as it tells an increase in the price of stock whilst investors should buy when Death cross occurs due to the decline in stock price</w:t>
      </w:r>
      <w:r w:rsidR="005D4493" w:rsidRPr="00C75D53">
        <w:rPr>
          <w:rFonts w:cs="Times New Roman"/>
          <w:sz w:val="22"/>
          <w:szCs w:val="22"/>
        </w:rPr>
        <w:t xml:space="preserve"> (The Investopedia Team, 2022)</w:t>
      </w:r>
      <w:r w:rsidR="007A73A6" w:rsidRPr="00C75D53">
        <w:rPr>
          <w:rFonts w:cs="Times New Roman"/>
          <w:sz w:val="22"/>
          <w:szCs w:val="22"/>
        </w:rPr>
        <w:t xml:space="preserve">. In </w:t>
      </w:r>
      <w:r w:rsidR="007A73A6" w:rsidRPr="00C75D53">
        <w:rPr>
          <w:rFonts w:cs="Times New Roman"/>
          <w:i/>
          <w:iCs/>
          <w:sz w:val="22"/>
          <w:szCs w:val="22"/>
        </w:rPr>
        <w:t>figure 20</w:t>
      </w:r>
      <w:r w:rsidR="007A73A6" w:rsidRPr="00C75D53">
        <w:rPr>
          <w:rFonts w:cs="Times New Roman"/>
          <w:sz w:val="22"/>
          <w:szCs w:val="22"/>
        </w:rPr>
        <w:t>, yellow dots are the example of the points that Golden crosses occur</w:t>
      </w:r>
      <w:r w:rsidRPr="00C75D53">
        <w:rPr>
          <w:rFonts w:cs="Times New Roman"/>
          <w:sz w:val="22"/>
          <w:szCs w:val="22"/>
        </w:rPr>
        <w:t xml:space="preserve"> </w:t>
      </w:r>
      <w:r w:rsidR="007A73A6" w:rsidRPr="00C75D53">
        <w:rPr>
          <w:rFonts w:cs="Times New Roman"/>
          <w:sz w:val="22"/>
          <w:szCs w:val="22"/>
        </w:rPr>
        <w:t xml:space="preserve">while the red dots represent the Death crosses. </w:t>
      </w:r>
    </w:p>
    <w:p w14:paraId="55F3CBED" w14:textId="77777777" w:rsidR="00AD689F" w:rsidRPr="00C75D53" w:rsidRDefault="00AD689F" w:rsidP="00C75D53">
      <w:pPr>
        <w:spacing w:beforeLines="240" w:before="576" w:after="0"/>
        <w:contextualSpacing/>
        <w:rPr>
          <w:rFonts w:cs="Times New Roman"/>
          <w:sz w:val="22"/>
          <w:szCs w:val="22"/>
        </w:rPr>
      </w:pPr>
    </w:p>
    <w:p w14:paraId="1966A304" w14:textId="77777777" w:rsidR="00AD689F" w:rsidRPr="00C75D53" w:rsidRDefault="00AD689F" w:rsidP="00C75D53">
      <w:pPr>
        <w:spacing w:beforeLines="240" w:before="576" w:after="0"/>
        <w:contextualSpacing/>
        <w:rPr>
          <w:rFonts w:cs="Times New Roman"/>
          <w:sz w:val="22"/>
          <w:szCs w:val="22"/>
        </w:rPr>
      </w:pPr>
    </w:p>
    <w:p w14:paraId="3E2B8845" w14:textId="77777777" w:rsidR="00AD689F" w:rsidRPr="00C75D53" w:rsidRDefault="00AD689F" w:rsidP="00C75D53">
      <w:pPr>
        <w:spacing w:beforeLines="240" w:before="576" w:after="0"/>
        <w:contextualSpacing/>
        <w:rPr>
          <w:rFonts w:cs="Times New Roman"/>
          <w:sz w:val="22"/>
          <w:szCs w:val="22"/>
        </w:rPr>
      </w:pPr>
    </w:p>
    <w:p w14:paraId="4F1E1048" w14:textId="77777777" w:rsidR="00AD689F" w:rsidRPr="00C75D53" w:rsidRDefault="00AD689F" w:rsidP="00C75D53">
      <w:pPr>
        <w:spacing w:beforeLines="240" w:before="576" w:after="0"/>
        <w:contextualSpacing/>
        <w:rPr>
          <w:rFonts w:cs="Times New Roman"/>
          <w:sz w:val="22"/>
          <w:szCs w:val="22"/>
        </w:rPr>
      </w:pPr>
    </w:p>
    <w:p w14:paraId="34F2D47C" w14:textId="77777777" w:rsidR="00AD689F" w:rsidRPr="00C75D53" w:rsidRDefault="00AD689F" w:rsidP="00C75D53">
      <w:pPr>
        <w:spacing w:beforeLines="240" w:before="576" w:after="0"/>
        <w:contextualSpacing/>
        <w:rPr>
          <w:rFonts w:cs="Times New Roman"/>
          <w:sz w:val="22"/>
          <w:szCs w:val="22"/>
        </w:rPr>
      </w:pPr>
    </w:p>
    <w:p w14:paraId="20FE2F79" w14:textId="77777777" w:rsidR="00AD689F" w:rsidRPr="00C75D53" w:rsidRDefault="00AD689F" w:rsidP="00C75D53">
      <w:pPr>
        <w:spacing w:beforeLines="240" w:before="576" w:after="0"/>
        <w:contextualSpacing/>
        <w:rPr>
          <w:rFonts w:cs="Times New Roman"/>
          <w:sz w:val="22"/>
          <w:szCs w:val="22"/>
        </w:rPr>
      </w:pPr>
    </w:p>
    <w:p w14:paraId="2BF527D3" w14:textId="77777777" w:rsidR="00AD689F" w:rsidRPr="00C75D53" w:rsidRDefault="00AD689F" w:rsidP="00C75D53">
      <w:pPr>
        <w:spacing w:beforeLines="240" w:before="576" w:after="0"/>
        <w:contextualSpacing/>
        <w:rPr>
          <w:rFonts w:cs="Times New Roman"/>
          <w:sz w:val="22"/>
          <w:szCs w:val="22"/>
        </w:rPr>
      </w:pPr>
    </w:p>
    <w:p w14:paraId="29F15D67" w14:textId="77777777" w:rsidR="00AD689F" w:rsidRPr="00C75D53" w:rsidRDefault="00AD689F" w:rsidP="00C75D53">
      <w:pPr>
        <w:spacing w:beforeLines="240" w:before="576" w:after="0"/>
        <w:contextualSpacing/>
        <w:rPr>
          <w:rFonts w:cs="Times New Roman"/>
          <w:sz w:val="22"/>
          <w:szCs w:val="22"/>
        </w:rPr>
      </w:pPr>
    </w:p>
    <w:p w14:paraId="266A6D2C" w14:textId="77777777" w:rsidR="00AD689F" w:rsidRPr="00C75D53" w:rsidRDefault="00AD689F" w:rsidP="00C75D53">
      <w:pPr>
        <w:spacing w:beforeLines="240" w:before="576" w:after="0"/>
        <w:contextualSpacing/>
        <w:rPr>
          <w:rFonts w:cs="Times New Roman"/>
          <w:sz w:val="22"/>
          <w:szCs w:val="22"/>
        </w:rPr>
      </w:pPr>
    </w:p>
    <w:p w14:paraId="61E5DF84" w14:textId="77777777" w:rsidR="00AD689F" w:rsidRPr="00C75D53" w:rsidRDefault="00AD689F" w:rsidP="00C75D53">
      <w:pPr>
        <w:spacing w:beforeLines="240" w:before="576" w:after="0"/>
        <w:contextualSpacing/>
        <w:rPr>
          <w:rFonts w:cs="Times New Roman"/>
          <w:sz w:val="22"/>
          <w:szCs w:val="22"/>
        </w:rPr>
      </w:pPr>
    </w:p>
    <w:p w14:paraId="41BA550A" w14:textId="77777777" w:rsidR="00AD689F" w:rsidRPr="00C75D53" w:rsidRDefault="00AD689F" w:rsidP="00C75D53">
      <w:pPr>
        <w:spacing w:beforeLines="240" w:before="576" w:after="0"/>
        <w:contextualSpacing/>
        <w:rPr>
          <w:rFonts w:cs="Times New Roman"/>
          <w:sz w:val="22"/>
          <w:szCs w:val="22"/>
        </w:rPr>
      </w:pPr>
    </w:p>
    <w:p w14:paraId="279345E4" w14:textId="77777777" w:rsidR="00AD689F" w:rsidRPr="00C75D53" w:rsidRDefault="00AD689F" w:rsidP="00C75D53">
      <w:pPr>
        <w:spacing w:beforeLines="240" w:before="576" w:after="0"/>
        <w:contextualSpacing/>
        <w:rPr>
          <w:rFonts w:cs="Times New Roman"/>
          <w:sz w:val="22"/>
          <w:szCs w:val="22"/>
        </w:rPr>
      </w:pPr>
    </w:p>
    <w:p w14:paraId="38D0478F" w14:textId="77777777" w:rsidR="00AD689F" w:rsidRPr="00C75D53" w:rsidRDefault="00AD689F" w:rsidP="00C75D53">
      <w:pPr>
        <w:spacing w:beforeLines="240" w:before="576" w:after="0"/>
        <w:contextualSpacing/>
        <w:rPr>
          <w:rFonts w:cs="Times New Roman"/>
          <w:sz w:val="22"/>
          <w:szCs w:val="22"/>
        </w:rPr>
      </w:pPr>
    </w:p>
    <w:p w14:paraId="650D6D36" w14:textId="77777777" w:rsidR="00AD689F" w:rsidRPr="00C75D53" w:rsidRDefault="00AD689F" w:rsidP="00C75D53">
      <w:pPr>
        <w:spacing w:beforeLines="240" w:before="576" w:after="0"/>
        <w:contextualSpacing/>
        <w:rPr>
          <w:rFonts w:cs="Times New Roman"/>
          <w:sz w:val="22"/>
          <w:szCs w:val="22"/>
        </w:rPr>
      </w:pPr>
    </w:p>
    <w:p w14:paraId="2201F67D" w14:textId="77777777" w:rsidR="00AD689F" w:rsidRPr="00C75D53" w:rsidRDefault="00AD689F" w:rsidP="00C75D53">
      <w:pPr>
        <w:spacing w:beforeLines="240" w:before="576" w:after="0"/>
        <w:contextualSpacing/>
        <w:rPr>
          <w:rFonts w:cs="Times New Roman"/>
          <w:sz w:val="22"/>
          <w:szCs w:val="22"/>
        </w:rPr>
      </w:pPr>
    </w:p>
    <w:p w14:paraId="2DC65CB2" w14:textId="77777777" w:rsidR="00AD689F" w:rsidRPr="00C75D53" w:rsidRDefault="00AD689F" w:rsidP="00C75D53">
      <w:pPr>
        <w:spacing w:beforeLines="240" w:before="576" w:after="0"/>
        <w:contextualSpacing/>
        <w:rPr>
          <w:rFonts w:cs="Times New Roman"/>
          <w:sz w:val="22"/>
          <w:szCs w:val="22"/>
        </w:rPr>
      </w:pPr>
    </w:p>
    <w:p w14:paraId="5C82F69D" w14:textId="02F215AA" w:rsidR="00AD689F" w:rsidRPr="004A14A8" w:rsidRDefault="00AD689F" w:rsidP="004A14A8">
      <w:pPr>
        <w:pStyle w:val="Heading3"/>
        <w:numPr>
          <w:ilvl w:val="0"/>
          <w:numId w:val="14"/>
        </w:numPr>
      </w:pPr>
      <w:bookmarkStart w:id="14" w:name="_Toc134147588"/>
      <w:r w:rsidRPr="004A14A8">
        <w:t>Forecast:</w:t>
      </w:r>
      <w:bookmarkEnd w:id="14"/>
      <w:r w:rsidRPr="004A14A8">
        <w:t xml:space="preserve"> </w:t>
      </w:r>
    </w:p>
    <w:p w14:paraId="0DE403F9" w14:textId="0C4D8E2E" w:rsidR="005D23A4" w:rsidRDefault="005D23A4" w:rsidP="00C75D53">
      <w:pPr>
        <w:spacing w:beforeLines="240" w:before="576" w:after="0"/>
        <w:contextualSpacing/>
        <w:rPr>
          <w:rFonts w:cs="Times New Roman"/>
          <w:sz w:val="22"/>
          <w:szCs w:val="22"/>
        </w:rPr>
      </w:pPr>
      <w:r w:rsidRPr="00C75D53">
        <w:rPr>
          <w:rFonts w:cs="Times New Roman"/>
          <w:sz w:val="22"/>
          <w:szCs w:val="22"/>
        </w:rPr>
        <w:t>To compare the results of 5 forecasting methods below, this report will apply the error metrics including Mean Absolute Error (MAE) and Mean Squared Error (MSE). The purpose of these metrics is to focus on the gap between the forecasted value and the real value; thus, the method that has lower MAE and MSE value would has a more accurate forecast (</w:t>
      </w:r>
      <w:r w:rsidR="00D74545" w:rsidRPr="00C75D53">
        <w:rPr>
          <w:rFonts w:cs="Times New Roman"/>
          <w:sz w:val="22"/>
          <w:szCs w:val="22"/>
        </w:rPr>
        <w:t>Froehlich et al., 2019</w:t>
      </w:r>
      <w:r w:rsidRPr="00C75D53">
        <w:rPr>
          <w:rFonts w:cs="Times New Roman"/>
          <w:sz w:val="22"/>
          <w:szCs w:val="22"/>
        </w:rPr>
        <w:t xml:space="preserve">). In addition, </w:t>
      </w:r>
      <w:r w:rsidRPr="00C75D53">
        <w:rPr>
          <w:rFonts w:cs="Times New Roman"/>
          <w:i/>
          <w:iCs/>
          <w:sz w:val="22"/>
          <w:szCs w:val="22"/>
        </w:rPr>
        <w:t>appendix 2</w:t>
      </w:r>
      <w:r w:rsidRPr="00C75D53">
        <w:rPr>
          <w:rFonts w:cs="Times New Roman"/>
          <w:sz w:val="22"/>
          <w:szCs w:val="22"/>
        </w:rPr>
        <w:t xml:space="preserve"> includes the calculated error metrics for each method.  </w:t>
      </w:r>
    </w:p>
    <w:p w14:paraId="38C71EBA" w14:textId="77777777" w:rsidR="005630BA" w:rsidRPr="00C75D53" w:rsidRDefault="005630BA" w:rsidP="00C75D53">
      <w:pPr>
        <w:spacing w:beforeLines="240" w:before="576" w:after="0"/>
        <w:contextualSpacing/>
        <w:rPr>
          <w:rFonts w:cs="Times New Roman"/>
          <w:sz w:val="22"/>
          <w:szCs w:val="22"/>
        </w:rPr>
      </w:pPr>
    </w:p>
    <w:p w14:paraId="574CA46F" w14:textId="5EB0A014" w:rsidR="00AD689F" w:rsidRPr="00C75D53" w:rsidRDefault="00AD689F" w:rsidP="00C75D53">
      <w:pPr>
        <w:spacing w:beforeLines="240" w:before="576" w:after="0"/>
        <w:contextualSpacing/>
        <w:rPr>
          <w:rFonts w:cs="Times New Roman"/>
          <w:b/>
          <w:bCs/>
          <w:sz w:val="22"/>
          <w:szCs w:val="22"/>
        </w:rPr>
      </w:pPr>
      <w:r w:rsidRPr="00C75D53">
        <w:rPr>
          <w:rFonts w:cs="Times New Roman"/>
          <w:b/>
          <w:bCs/>
          <w:sz w:val="22"/>
          <w:szCs w:val="22"/>
        </w:rPr>
        <w:t>Short-term moving average:</w:t>
      </w:r>
    </w:p>
    <w:p w14:paraId="10036A0E" w14:textId="094832AB" w:rsidR="00B634CF" w:rsidRPr="00C75D53" w:rsidRDefault="00B634CF" w:rsidP="00C75D53">
      <w:pPr>
        <w:spacing w:beforeLines="240" w:before="576" w:after="0"/>
        <w:contextualSpacing/>
        <w:rPr>
          <w:rFonts w:cs="Times New Roman"/>
          <w:sz w:val="22"/>
          <w:szCs w:val="22"/>
        </w:rPr>
      </w:pPr>
      <w:r w:rsidRPr="00C75D53">
        <w:rPr>
          <w:rFonts w:cs="Times New Roman"/>
          <w:noProof/>
          <w:sz w:val="22"/>
          <w:szCs w:val="22"/>
        </w:rPr>
        <w:drawing>
          <wp:inline distT="0" distB="0" distL="0" distR="0" wp14:anchorId="0A8825CA" wp14:editId="636EB2D3">
            <wp:extent cx="5727700" cy="3674745"/>
            <wp:effectExtent l="0" t="0" r="635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674745"/>
                    </a:xfrm>
                    <a:prstGeom prst="rect">
                      <a:avLst/>
                    </a:prstGeom>
                    <a:noFill/>
                    <a:ln>
                      <a:noFill/>
                    </a:ln>
                  </pic:spPr>
                </pic:pic>
              </a:graphicData>
            </a:graphic>
          </wp:inline>
        </w:drawing>
      </w:r>
    </w:p>
    <w:p w14:paraId="656C761C" w14:textId="1FF6739C" w:rsidR="00AD689F" w:rsidRPr="00C75D53" w:rsidRDefault="00AD689F" w:rsidP="00C75D53">
      <w:pPr>
        <w:spacing w:beforeLines="240" w:before="576" w:after="0"/>
        <w:ind w:left="1440" w:firstLine="720"/>
        <w:contextualSpacing/>
        <w:rPr>
          <w:rFonts w:cs="Times New Roman"/>
          <w:i/>
          <w:iCs/>
          <w:sz w:val="22"/>
          <w:szCs w:val="22"/>
        </w:rPr>
      </w:pPr>
      <w:r w:rsidRPr="00C75D53">
        <w:rPr>
          <w:rFonts w:cs="Times New Roman"/>
          <w:i/>
          <w:iCs/>
          <w:sz w:val="22"/>
          <w:szCs w:val="22"/>
        </w:rPr>
        <w:t>Figure 21: Forecast using 5-day moving average</w:t>
      </w:r>
    </w:p>
    <w:p w14:paraId="2CA69A4B" w14:textId="237E3DCB" w:rsidR="00AD689F" w:rsidRPr="00C75D53" w:rsidRDefault="00AD689F" w:rsidP="00C75D53">
      <w:pPr>
        <w:pStyle w:val="HTMLPreformatted"/>
        <w:shd w:val="clear" w:color="auto" w:fill="FFFFFF"/>
        <w:spacing w:beforeLines="240" w:before="576"/>
        <w:contextualSpacing/>
        <w:textAlignment w:val="baseline"/>
        <w:rPr>
          <w:rFonts w:ascii="Times New Roman" w:hAnsi="Times New Roman" w:cs="Times New Roman"/>
          <w:color w:val="000000"/>
          <w:sz w:val="22"/>
          <w:szCs w:val="22"/>
        </w:rPr>
      </w:pPr>
      <w:r w:rsidRPr="00C75D53">
        <w:rPr>
          <w:rFonts w:ascii="Times New Roman" w:hAnsi="Times New Roman" w:cs="Times New Roman"/>
          <w:color w:val="000000"/>
          <w:sz w:val="22"/>
          <w:szCs w:val="22"/>
        </w:rPr>
        <w:t xml:space="preserve">As could be since in </w:t>
      </w:r>
      <w:r w:rsidRPr="00C75D53">
        <w:rPr>
          <w:rFonts w:ascii="Times New Roman" w:hAnsi="Times New Roman" w:cs="Times New Roman"/>
          <w:i/>
          <w:iCs/>
          <w:color w:val="000000"/>
          <w:sz w:val="22"/>
          <w:szCs w:val="22"/>
        </w:rPr>
        <w:t>figure 21</w:t>
      </w:r>
      <w:r w:rsidRPr="00C75D53">
        <w:rPr>
          <w:rFonts w:ascii="Times New Roman" w:hAnsi="Times New Roman" w:cs="Times New Roman"/>
          <w:color w:val="000000"/>
          <w:sz w:val="22"/>
          <w:szCs w:val="22"/>
        </w:rPr>
        <w:t xml:space="preserve">, the forecast line is not compatible with the test set prices. Moreover, the MAE and MSE are significantly high which are 346.6579 and 206,777.2763 respectively. Thus, the </w:t>
      </w:r>
      <w:r w:rsidRPr="00C75D53">
        <w:rPr>
          <w:rFonts w:ascii="Times New Roman" w:hAnsi="Times New Roman" w:cs="Times New Roman"/>
          <w:i/>
          <w:iCs/>
          <w:color w:val="000000"/>
          <w:sz w:val="22"/>
          <w:szCs w:val="22"/>
        </w:rPr>
        <w:t>short-term moving average</w:t>
      </w:r>
      <w:r w:rsidRPr="00C75D53">
        <w:rPr>
          <w:rFonts w:ascii="Times New Roman" w:hAnsi="Times New Roman" w:cs="Times New Roman"/>
          <w:color w:val="000000"/>
          <w:sz w:val="22"/>
          <w:szCs w:val="22"/>
        </w:rPr>
        <w:t xml:space="preserve"> forecast has low accuracy in this case. </w:t>
      </w:r>
    </w:p>
    <w:p w14:paraId="6B3FDA24" w14:textId="77777777" w:rsidR="005630BA" w:rsidRDefault="005630BA" w:rsidP="005630BA">
      <w:pPr>
        <w:rPr>
          <w:b/>
          <w:bCs/>
        </w:rPr>
      </w:pPr>
    </w:p>
    <w:p w14:paraId="27CA9A15" w14:textId="77777777" w:rsidR="005630BA" w:rsidRDefault="005630BA" w:rsidP="005630BA">
      <w:pPr>
        <w:rPr>
          <w:b/>
          <w:bCs/>
        </w:rPr>
      </w:pPr>
    </w:p>
    <w:p w14:paraId="0409A2C0" w14:textId="77777777" w:rsidR="005630BA" w:rsidRDefault="005630BA" w:rsidP="005630BA">
      <w:pPr>
        <w:rPr>
          <w:b/>
          <w:bCs/>
        </w:rPr>
      </w:pPr>
    </w:p>
    <w:p w14:paraId="450AA37A" w14:textId="77777777" w:rsidR="005630BA" w:rsidRDefault="005630BA" w:rsidP="005630BA">
      <w:pPr>
        <w:rPr>
          <w:b/>
          <w:bCs/>
        </w:rPr>
      </w:pPr>
    </w:p>
    <w:p w14:paraId="4338DED9" w14:textId="77777777" w:rsidR="005630BA" w:rsidRDefault="005630BA" w:rsidP="005630BA">
      <w:pPr>
        <w:rPr>
          <w:b/>
          <w:bCs/>
        </w:rPr>
      </w:pPr>
    </w:p>
    <w:p w14:paraId="1A5BE098" w14:textId="77777777" w:rsidR="005630BA" w:rsidRDefault="005630BA" w:rsidP="005630BA">
      <w:pPr>
        <w:rPr>
          <w:b/>
          <w:bCs/>
        </w:rPr>
      </w:pPr>
    </w:p>
    <w:p w14:paraId="6A6EF85B" w14:textId="77C9F8D4" w:rsidR="009E6A33" w:rsidRPr="005630BA" w:rsidRDefault="009E6A33" w:rsidP="005630BA">
      <w:pPr>
        <w:rPr>
          <w:b/>
          <w:bCs/>
          <w:sz w:val="22"/>
          <w:szCs w:val="22"/>
        </w:rPr>
      </w:pPr>
      <w:r w:rsidRPr="005630BA">
        <w:rPr>
          <w:b/>
          <w:bCs/>
          <w:sz w:val="22"/>
          <w:szCs w:val="22"/>
        </w:rPr>
        <w:lastRenderedPageBreak/>
        <w:t>Single Exponential Smoothing</w:t>
      </w:r>
    </w:p>
    <w:p w14:paraId="3F0C98DA" w14:textId="69E177F2" w:rsidR="00F00115" w:rsidRPr="00C75D53" w:rsidRDefault="00F00115" w:rsidP="004A14A8">
      <w:pPr>
        <w:spacing w:beforeLines="240" w:before="576" w:after="0"/>
        <w:ind w:firstLine="720"/>
        <w:contextualSpacing/>
        <w:rPr>
          <w:rFonts w:cs="Times New Roman"/>
          <w:sz w:val="22"/>
          <w:szCs w:val="22"/>
        </w:rPr>
      </w:pPr>
      <w:r w:rsidRPr="00C75D53">
        <w:rPr>
          <w:rFonts w:cs="Times New Roman"/>
          <w:noProof/>
          <w:sz w:val="22"/>
          <w:szCs w:val="22"/>
        </w:rPr>
        <w:drawing>
          <wp:inline distT="0" distB="0" distL="0" distR="0" wp14:anchorId="2AB7A15A" wp14:editId="3BD8C490">
            <wp:extent cx="4578927" cy="252074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95845" cy="2530063"/>
                    </a:xfrm>
                    <a:prstGeom prst="rect">
                      <a:avLst/>
                    </a:prstGeom>
                    <a:noFill/>
                    <a:ln>
                      <a:noFill/>
                    </a:ln>
                  </pic:spPr>
                </pic:pic>
              </a:graphicData>
            </a:graphic>
          </wp:inline>
        </w:drawing>
      </w:r>
    </w:p>
    <w:p w14:paraId="400CC2F9" w14:textId="53863562" w:rsidR="00AD689F" w:rsidRDefault="00AD689F" w:rsidP="00C75D53">
      <w:pPr>
        <w:spacing w:beforeLines="240" w:before="576" w:after="0"/>
        <w:ind w:left="1440" w:firstLine="720"/>
        <w:contextualSpacing/>
        <w:rPr>
          <w:rFonts w:cs="Times New Roman"/>
          <w:i/>
          <w:iCs/>
          <w:sz w:val="22"/>
          <w:szCs w:val="22"/>
        </w:rPr>
      </w:pPr>
      <w:r w:rsidRPr="00C75D53">
        <w:rPr>
          <w:rFonts w:cs="Times New Roman"/>
          <w:i/>
          <w:iCs/>
          <w:sz w:val="22"/>
          <w:szCs w:val="22"/>
        </w:rPr>
        <w:t>Figure 22: Forecast using single exponential smoothing</w:t>
      </w:r>
    </w:p>
    <w:p w14:paraId="5D4E8FCB" w14:textId="77777777" w:rsidR="004A14A8" w:rsidRPr="00C75D53" w:rsidRDefault="004A14A8" w:rsidP="00C75D53">
      <w:pPr>
        <w:spacing w:beforeLines="240" w:before="576" w:after="0"/>
        <w:ind w:left="1440" w:firstLine="720"/>
        <w:contextualSpacing/>
        <w:rPr>
          <w:rFonts w:cs="Times New Roman"/>
          <w:i/>
          <w:iCs/>
          <w:sz w:val="22"/>
          <w:szCs w:val="22"/>
        </w:rPr>
      </w:pPr>
    </w:p>
    <w:p w14:paraId="4C7FBF10" w14:textId="617032EC" w:rsidR="00EE591C" w:rsidRPr="00C75D53" w:rsidRDefault="00EE591C" w:rsidP="00C75D53">
      <w:pPr>
        <w:spacing w:beforeLines="240" w:before="576" w:after="0"/>
        <w:contextualSpacing/>
        <w:rPr>
          <w:rFonts w:cs="Times New Roman"/>
          <w:i/>
          <w:iCs/>
          <w:sz w:val="22"/>
          <w:szCs w:val="22"/>
        </w:rPr>
      </w:pPr>
      <w:r w:rsidRPr="00C75D53">
        <w:rPr>
          <w:rFonts w:cs="Times New Roman"/>
          <w:sz w:val="22"/>
          <w:szCs w:val="22"/>
        </w:rPr>
        <w:t xml:space="preserve">The test set prices and the forecast line is also not compatible as shown in </w:t>
      </w:r>
      <w:r w:rsidRPr="00C75D53">
        <w:rPr>
          <w:rFonts w:cs="Times New Roman"/>
          <w:i/>
          <w:iCs/>
          <w:sz w:val="22"/>
          <w:szCs w:val="22"/>
        </w:rPr>
        <w:t>figure 22</w:t>
      </w:r>
      <w:r w:rsidRPr="00C75D53">
        <w:rPr>
          <w:rFonts w:cs="Times New Roman"/>
          <w:sz w:val="22"/>
          <w:szCs w:val="22"/>
        </w:rPr>
        <w:t xml:space="preserve">. However, </w:t>
      </w:r>
      <w:r w:rsidRPr="00C75D53">
        <w:rPr>
          <w:rFonts w:cs="Times New Roman"/>
          <w:i/>
          <w:iCs/>
          <w:sz w:val="22"/>
          <w:szCs w:val="22"/>
        </w:rPr>
        <w:t xml:space="preserve">single exponential smoothing </w:t>
      </w:r>
      <w:r w:rsidRPr="00C75D53">
        <w:rPr>
          <w:rFonts w:cs="Times New Roman"/>
          <w:sz w:val="22"/>
          <w:szCs w:val="22"/>
        </w:rPr>
        <w:t>error metrics</w:t>
      </w:r>
      <w:r w:rsidR="008D1BAE" w:rsidRPr="00C75D53">
        <w:rPr>
          <w:rFonts w:cs="Times New Roman"/>
          <w:sz w:val="22"/>
          <w:szCs w:val="22"/>
        </w:rPr>
        <w:t xml:space="preserve"> is slightly smaller than short-term moving average’s ones with 310.7873 for MAE and 159,896.6132 for MSE. Therefore, despite having low accuracy, </w:t>
      </w:r>
      <w:r w:rsidR="008D1BAE" w:rsidRPr="00C75D53">
        <w:rPr>
          <w:rFonts w:cs="Times New Roman"/>
          <w:i/>
          <w:iCs/>
          <w:sz w:val="22"/>
          <w:szCs w:val="22"/>
        </w:rPr>
        <w:t xml:space="preserve">single exponential smoothing </w:t>
      </w:r>
      <w:r w:rsidR="008D1BAE" w:rsidRPr="00C75D53">
        <w:rPr>
          <w:rFonts w:cs="Times New Roman"/>
          <w:sz w:val="22"/>
          <w:szCs w:val="22"/>
        </w:rPr>
        <w:t xml:space="preserve">forecast is slightly better than </w:t>
      </w:r>
      <w:r w:rsidR="008D1BAE" w:rsidRPr="00C75D53">
        <w:rPr>
          <w:rFonts w:cs="Times New Roman"/>
          <w:i/>
          <w:iCs/>
          <w:sz w:val="22"/>
          <w:szCs w:val="22"/>
        </w:rPr>
        <w:t>short-term moving average.</w:t>
      </w:r>
      <w:r w:rsidR="005E324A" w:rsidRPr="00C75D53">
        <w:rPr>
          <w:rFonts w:cs="Times New Roman"/>
          <w:i/>
          <w:iCs/>
          <w:sz w:val="22"/>
          <w:szCs w:val="22"/>
        </w:rPr>
        <w:t xml:space="preserve"> </w:t>
      </w:r>
    </w:p>
    <w:p w14:paraId="787C27A8" w14:textId="77777777" w:rsidR="00C17E8B" w:rsidRPr="005630BA" w:rsidRDefault="00C17E8B" w:rsidP="005630BA">
      <w:pPr>
        <w:rPr>
          <w:b/>
          <w:bCs/>
          <w:sz w:val="22"/>
          <w:szCs w:val="22"/>
        </w:rPr>
      </w:pPr>
      <w:r w:rsidRPr="005630BA">
        <w:rPr>
          <w:b/>
          <w:bCs/>
          <w:sz w:val="22"/>
          <w:szCs w:val="22"/>
        </w:rPr>
        <w:t>Double Exponential Smoothing</w:t>
      </w:r>
    </w:p>
    <w:p w14:paraId="4BB235D0" w14:textId="58D7EA36" w:rsidR="00F00115" w:rsidRPr="00C75D53" w:rsidRDefault="00F00115" w:rsidP="004A14A8">
      <w:pPr>
        <w:spacing w:beforeLines="240" w:before="576" w:after="0"/>
        <w:ind w:firstLine="720"/>
        <w:contextualSpacing/>
        <w:rPr>
          <w:rFonts w:cs="Times New Roman"/>
          <w:sz w:val="22"/>
          <w:szCs w:val="22"/>
        </w:rPr>
      </w:pPr>
      <w:r w:rsidRPr="00C75D53">
        <w:rPr>
          <w:rFonts w:cs="Times New Roman"/>
          <w:noProof/>
          <w:sz w:val="22"/>
          <w:szCs w:val="22"/>
        </w:rPr>
        <w:drawing>
          <wp:inline distT="0" distB="0" distL="0" distR="0" wp14:anchorId="1B8D51C8" wp14:editId="28656F50">
            <wp:extent cx="4530436" cy="2715139"/>
            <wp:effectExtent l="0" t="0" r="381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42329" cy="2722266"/>
                    </a:xfrm>
                    <a:prstGeom prst="rect">
                      <a:avLst/>
                    </a:prstGeom>
                    <a:noFill/>
                    <a:ln>
                      <a:noFill/>
                    </a:ln>
                  </pic:spPr>
                </pic:pic>
              </a:graphicData>
            </a:graphic>
          </wp:inline>
        </w:drawing>
      </w:r>
    </w:p>
    <w:p w14:paraId="526A51D3" w14:textId="1469A2AA" w:rsidR="00824268" w:rsidRPr="00C75D53" w:rsidRDefault="00824268" w:rsidP="004A14A8">
      <w:pPr>
        <w:spacing w:beforeLines="240" w:before="576" w:after="0"/>
        <w:ind w:left="720" w:firstLine="720"/>
        <w:contextualSpacing/>
        <w:rPr>
          <w:rFonts w:cs="Times New Roman"/>
          <w:i/>
          <w:iCs/>
          <w:sz w:val="22"/>
          <w:szCs w:val="22"/>
        </w:rPr>
      </w:pPr>
      <w:r w:rsidRPr="00C75D53">
        <w:rPr>
          <w:rFonts w:cs="Times New Roman"/>
          <w:i/>
          <w:iCs/>
          <w:sz w:val="22"/>
          <w:szCs w:val="22"/>
        </w:rPr>
        <w:t>Figure 23: Forecast using Double Exponential Smoothing</w:t>
      </w:r>
    </w:p>
    <w:p w14:paraId="264FFE7F" w14:textId="3101AA74" w:rsidR="00824268" w:rsidRPr="00C75D53" w:rsidRDefault="00824268" w:rsidP="00C75D53">
      <w:pPr>
        <w:pStyle w:val="HTMLPreformatted"/>
        <w:shd w:val="clear" w:color="auto" w:fill="FFFFFF"/>
        <w:spacing w:beforeLines="240" w:before="576"/>
        <w:contextualSpacing/>
        <w:textAlignment w:val="baseline"/>
        <w:rPr>
          <w:rFonts w:ascii="Times New Roman" w:hAnsi="Times New Roman" w:cs="Times New Roman"/>
          <w:color w:val="000000"/>
          <w:sz w:val="22"/>
          <w:szCs w:val="22"/>
        </w:rPr>
      </w:pPr>
      <w:r w:rsidRPr="00C75D53">
        <w:rPr>
          <w:rFonts w:ascii="Times New Roman" w:hAnsi="Times New Roman" w:cs="Times New Roman"/>
          <w:color w:val="000000"/>
          <w:sz w:val="22"/>
          <w:szCs w:val="22"/>
        </w:rPr>
        <w:t xml:space="preserve">The </w:t>
      </w:r>
      <w:r w:rsidR="005E324A" w:rsidRPr="00C75D53">
        <w:rPr>
          <w:rFonts w:ascii="Times New Roman" w:hAnsi="Times New Roman" w:cs="Times New Roman"/>
          <w:color w:val="000000"/>
          <w:sz w:val="22"/>
          <w:szCs w:val="22"/>
        </w:rPr>
        <w:t>forecast line</w:t>
      </w:r>
      <w:r w:rsidRPr="00C75D53">
        <w:rPr>
          <w:rFonts w:ascii="Times New Roman" w:hAnsi="Times New Roman" w:cs="Times New Roman"/>
          <w:color w:val="000000"/>
          <w:sz w:val="22"/>
          <w:szCs w:val="22"/>
        </w:rPr>
        <w:t xml:space="preserve"> in </w:t>
      </w:r>
      <w:r w:rsidRPr="00C75D53">
        <w:rPr>
          <w:rFonts w:ascii="Times New Roman" w:hAnsi="Times New Roman" w:cs="Times New Roman"/>
          <w:i/>
          <w:iCs/>
          <w:color w:val="000000"/>
          <w:sz w:val="22"/>
          <w:szCs w:val="22"/>
        </w:rPr>
        <w:t xml:space="preserve">figure 23 </w:t>
      </w:r>
      <w:r w:rsidR="005E324A" w:rsidRPr="00C75D53">
        <w:rPr>
          <w:rFonts w:ascii="Times New Roman" w:hAnsi="Times New Roman" w:cs="Times New Roman"/>
          <w:color w:val="000000"/>
          <w:sz w:val="22"/>
          <w:szCs w:val="22"/>
        </w:rPr>
        <w:t xml:space="preserve">is almost on top of the test set price. Not only that, the MAE and MSE are 162.8447 and 38,476.8763, respectively which are much smaller than that of </w:t>
      </w:r>
      <w:r w:rsidR="005E324A" w:rsidRPr="00C75D53">
        <w:rPr>
          <w:rFonts w:ascii="Times New Roman" w:hAnsi="Times New Roman" w:cs="Times New Roman"/>
          <w:i/>
          <w:iCs/>
          <w:color w:val="000000"/>
          <w:sz w:val="22"/>
          <w:szCs w:val="22"/>
        </w:rPr>
        <w:t>Single Exponential Smoothing</w:t>
      </w:r>
      <w:r w:rsidR="005E324A" w:rsidRPr="00C75D53">
        <w:rPr>
          <w:rFonts w:ascii="Times New Roman" w:hAnsi="Times New Roman" w:cs="Times New Roman"/>
          <w:color w:val="000000"/>
          <w:sz w:val="22"/>
          <w:szCs w:val="22"/>
        </w:rPr>
        <w:t xml:space="preserve">. Thus, </w:t>
      </w:r>
      <w:r w:rsidR="005E324A" w:rsidRPr="00C75D53">
        <w:rPr>
          <w:rFonts w:ascii="Times New Roman" w:hAnsi="Times New Roman" w:cs="Times New Roman"/>
          <w:i/>
          <w:iCs/>
          <w:color w:val="000000"/>
          <w:sz w:val="22"/>
          <w:szCs w:val="22"/>
        </w:rPr>
        <w:t xml:space="preserve">Double Exponential Smoothing </w:t>
      </w:r>
      <w:r w:rsidR="005E324A" w:rsidRPr="00C75D53">
        <w:rPr>
          <w:rFonts w:ascii="Times New Roman" w:hAnsi="Times New Roman" w:cs="Times New Roman"/>
          <w:color w:val="000000"/>
          <w:sz w:val="22"/>
          <w:szCs w:val="22"/>
        </w:rPr>
        <w:t xml:space="preserve">is more accurate than the previous method. </w:t>
      </w:r>
    </w:p>
    <w:p w14:paraId="1CFBEAB1" w14:textId="77777777" w:rsidR="005630BA" w:rsidRDefault="005630BA" w:rsidP="005630BA">
      <w:pPr>
        <w:rPr>
          <w:b/>
          <w:bCs/>
          <w:sz w:val="22"/>
          <w:szCs w:val="22"/>
        </w:rPr>
      </w:pPr>
    </w:p>
    <w:p w14:paraId="23581A52" w14:textId="77777777" w:rsidR="005630BA" w:rsidRDefault="005630BA" w:rsidP="005630BA">
      <w:pPr>
        <w:rPr>
          <w:b/>
          <w:bCs/>
          <w:sz w:val="22"/>
          <w:szCs w:val="22"/>
        </w:rPr>
      </w:pPr>
    </w:p>
    <w:p w14:paraId="741C0916" w14:textId="07675C99" w:rsidR="00C17E8B" w:rsidRPr="005630BA" w:rsidRDefault="00C17E8B" w:rsidP="005630BA">
      <w:pPr>
        <w:rPr>
          <w:b/>
          <w:bCs/>
          <w:sz w:val="22"/>
          <w:szCs w:val="22"/>
        </w:rPr>
      </w:pPr>
      <w:r w:rsidRPr="005630BA">
        <w:rPr>
          <w:b/>
          <w:bCs/>
          <w:sz w:val="22"/>
          <w:szCs w:val="22"/>
        </w:rPr>
        <w:lastRenderedPageBreak/>
        <w:t>Holt’s</w:t>
      </w:r>
      <w:r w:rsidR="005E324A" w:rsidRPr="005630BA">
        <w:rPr>
          <w:b/>
          <w:bCs/>
          <w:sz w:val="22"/>
          <w:szCs w:val="22"/>
        </w:rPr>
        <w:t xml:space="preserve"> </w:t>
      </w:r>
      <w:r w:rsidRPr="005630BA">
        <w:rPr>
          <w:b/>
          <w:bCs/>
          <w:sz w:val="22"/>
          <w:szCs w:val="22"/>
        </w:rPr>
        <w:t>Winters Method (</w:t>
      </w:r>
      <w:r w:rsidR="00F00115" w:rsidRPr="005630BA">
        <w:rPr>
          <w:b/>
          <w:bCs/>
          <w:sz w:val="22"/>
          <w:szCs w:val="22"/>
        </w:rPr>
        <w:t>Additive</w:t>
      </w:r>
      <w:r w:rsidRPr="005630BA">
        <w:rPr>
          <w:b/>
          <w:bCs/>
          <w:sz w:val="22"/>
          <w:szCs w:val="22"/>
        </w:rPr>
        <w:t>)</w:t>
      </w:r>
    </w:p>
    <w:p w14:paraId="0205F0AB" w14:textId="59E13469" w:rsidR="00F00115" w:rsidRPr="00C75D53" w:rsidRDefault="00F00115" w:rsidP="004A14A8">
      <w:pPr>
        <w:spacing w:beforeLines="240" w:before="576" w:after="0"/>
        <w:ind w:firstLine="720"/>
        <w:contextualSpacing/>
        <w:rPr>
          <w:rFonts w:cs="Times New Roman"/>
          <w:sz w:val="22"/>
          <w:szCs w:val="22"/>
        </w:rPr>
      </w:pPr>
      <w:r w:rsidRPr="00C75D53">
        <w:rPr>
          <w:rFonts w:cs="Times New Roman"/>
          <w:noProof/>
          <w:sz w:val="22"/>
          <w:szCs w:val="22"/>
        </w:rPr>
        <w:drawing>
          <wp:inline distT="0" distB="0" distL="0" distR="0" wp14:anchorId="5E49CEB1" wp14:editId="6D96A595">
            <wp:extent cx="4918364" cy="27565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26745" cy="2761232"/>
                    </a:xfrm>
                    <a:prstGeom prst="rect">
                      <a:avLst/>
                    </a:prstGeom>
                    <a:noFill/>
                    <a:ln>
                      <a:noFill/>
                    </a:ln>
                  </pic:spPr>
                </pic:pic>
              </a:graphicData>
            </a:graphic>
          </wp:inline>
        </w:drawing>
      </w:r>
    </w:p>
    <w:p w14:paraId="2069E8A7" w14:textId="0E2955E0" w:rsidR="005E324A" w:rsidRPr="00C75D53" w:rsidRDefault="005E324A" w:rsidP="004A14A8">
      <w:pPr>
        <w:spacing w:beforeLines="240" w:before="576" w:after="0"/>
        <w:ind w:left="1440" w:firstLine="720"/>
        <w:contextualSpacing/>
        <w:rPr>
          <w:rFonts w:cs="Times New Roman"/>
          <w:i/>
          <w:iCs/>
          <w:sz w:val="22"/>
          <w:szCs w:val="22"/>
        </w:rPr>
      </w:pPr>
      <w:r w:rsidRPr="00C75D53">
        <w:rPr>
          <w:rFonts w:cs="Times New Roman"/>
          <w:i/>
          <w:iCs/>
          <w:sz w:val="22"/>
          <w:szCs w:val="22"/>
        </w:rPr>
        <w:t>Figure 24: Forecast using Holt’s Winters Method (Additive)</w:t>
      </w:r>
    </w:p>
    <w:p w14:paraId="2D07A336" w14:textId="795C3EE9" w:rsidR="00B634CF" w:rsidRPr="004A14A8" w:rsidRDefault="005E324A" w:rsidP="004A14A8">
      <w:pPr>
        <w:pStyle w:val="HTMLPreformatted"/>
        <w:spacing w:beforeLines="240" w:before="576"/>
        <w:contextualSpacing/>
        <w:textAlignment w:val="baseline"/>
        <w:rPr>
          <w:rFonts w:ascii="Times New Roman" w:hAnsi="Times New Roman" w:cs="Times New Roman"/>
          <w:color w:val="000000"/>
          <w:sz w:val="22"/>
          <w:szCs w:val="22"/>
        </w:rPr>
      </w:pPr>
      <w:r w:rsidRPr="00C75D53">
        <w:rPr>
          <w:rFonts w:ascii="Times New Roman" w:hAnsi="Times New Roman" w:cs="Times New Roman"/>
          <w:color w:val="000000"/>
          <w:sz w:val="22"/>
          <w:szCs w:val="22"/>
        </w:rPr>
        <w:t xml:space="preserve">The forecast line generated by </w:t>
      </w:r>
      <w:r w:rsidRPr="00C75D53">
        <w:rPr>
          <w:rFonts w:ascii="Times New Roman" w:hAnsi="Times New Roman" w:cs="Times New Roman"/>
          <w:i/>
          <w:iCs/>
          <w:color w:val="000000"/>
          <w:sz w:val="22"/>
          <w:szCs w:val="22"/>
        </w:rPr>
        <w:t>Holt’s Winters method</w:t>
      </w:r>
      <w:r w:rsidRPr="00C75D53">
        <w:rPr>
          <w:rFonts w:ascii="Times New Roman" w:hAnsi="Times New Roman" w:cs="Times New Roman"/>
          <w:color w:val="000000"/>
          <w:sz w:val="22"/>
          <w:szCs w:val="22"/>
        </w:rPr>
        <w:t xml:space="preserve"> </w:t>
      </w:r>
      <w:r w:rsidRPr="00C75D53">
        <w:rPr>
          <w:rFonts w:ascii="Times New Roman" w:hAnsi="Times New Roman" w:cs="Times New Roman"/>
          <w:i/>
          <w:iCs/>
          <w:color w:val="000000"/>
          <w:sz w:val="22"/>
          <w:szCs w:val="22"/>
        </w:rPr>
        <w:t>(Additive)</w:t>
      </w:r>
      <w:r w:rsidRPr="00C75D53">
        <w:rPr>
          <w:rFonts w:ascii="Times New Roman" w:hAnsi="Times New Roman" w:cs="Times New Roman"/>
          <w:color w:val="000000"/>
          <w:sz w:val="22"/>
          <w:szCs w:val="22"/>
        </w:rPr>
        <w:t xml:space="preserve"> is visually similar to </w:t>
      </w:r>
      <w:r w:rsidRPr="00C75D53">
        <w:rPr>
          <w:rFonts w:ascii="Times New Roman" w:hAnsi="Times New Roman" w:cs="Times New Roman"/>
          <w:i/>
          <w:iCs/>
          <w:color w:val="000000"/>
          <w:sz w:val="22"/>
          <w:szCs w:val="22"/>
        </w:rPr>
        <w:t>Double Exponential Smoothing</w:t>
      </w:r>
      <w:r w:rsidRPr="00C75D53">
        <w:rPr>
          <w:rFonts w:ascii="Times New Roman" w:hAnsi="Times New Roman" w:cs="Times New Roman"/>
          <w:color w:val="000000"/>
          <w:sz w:val="22"/>
          <w:szCs w:val="22"/>
        </w:rPr>
        <w:t xml:space="preserve"> which is nearly on top of the test set prices (</w:t>
      </w:r>
      <w:r w:rsidRPr="00C75D53">
        <w:rPr>
          <w:rFonts w:ascii="Times New Roman" w:hAnsi="Times New Roman" w:cs="Times New Roman"/>
          <w:i/>
          <w:iCs/>
          <w:color w:val="000000"/>
          <w:sz w:val="22"/>
          <w:szCs w:val="22"/>
        </w:rPr>
        <w:t>figure 24</w:t>
      </w:r>
      <w:r w:rsidRPr="00C75D53">
        <w:rPr>
          <w:rFonts w:ascii="Times New Roman" w:hAnsi="Times New Roman" w:cs="Times New Roman"/>
          <w:color w:val="000000"/>
          <w:sz w:val="22"/>
          <w:szCs w:val="22"/>
        </w:rPr>
        <w:t xml:space="preserve">). However, its error metrics are slightly higher at 164.6826 for MAE and 42,673.5721 for MSE. Thus, </w:t>
      </w:r>
      <w:r w:rsidRPr="00C75D53">
        <w:rPr>
          <w:rFonts w:ascii="Times New Roman" w:hAnsi="Times New Roman" w:cs="Times New Roman"/>
          <w:i/>
          <w:iCs/>
          <w:color w:val="000000"/>
          <w:sz w:val="22"/>
          <w:szCs w:val="22"/>
        </w:rPr>
        <w:t xml:space="preserve">Double Exponential Smoothing </w:t>
      </w:r>
      <w:r w:rsidRPr="00C75D53">
        <w:rPr>
          <w:rFonts w:ascii="Times New Roman" w:hAnsi="Times New Roman" w:cs="Times New Roman"/>
          <w:color w:val="000000"/>
          <w:sz w:val="22"/>
          <w:szCs w:val="22"/>
        </w:rPr>
        <w:t xml:space="preserve">method is slightly more precise than the </w:t>
      </w:r>
      <w:r w:rsidRPr="00C75D53">
        <w:rPr>
          <w:rFonts w:ascii="Times New Roman" w:hAnsi="Times New Roman" w:cs="Times New Roman"/>
          <w:i/>
          <w:iCs/>
          <w:color w:val="000000"/>
          <w:sz w:val="22"/>
          <w:szCs w:val="22"/>
        </w:rPr>
        <w:t>Holt’s Winters method</w:t>
      </w:r>
      <w:r w:rsidRPr="00C75D53">
        <w:rPr>
          <w:rFonts w:ascii="Times New Roman" w:hAnsi="Times New Roman" w:cs="Times New Roman"/>
          <w:color w:val="000000"/>
          <w:sz w:val="22"/>
          <w:szCs w:val="22"/>
        </w:rPr>
        <w:t xml:space="preserve"> </w:t>
      </w:r>
      <w:r w:rsidRPr="00C75D53">
        <w:rPr>
          <w:rFonts w:ascii="Times New Roman" w:hAnsi="Times New Roman" w:cs="Times New Roman"/>
          <w:i/>
          <w:iCs/>
          <w:color w:val="000000"/>
          <w:sz w:val="22"/>
          <w:szCs w:val="22"/>
        </w:rPr>
        <w:t>(Additive).</w:t>
      </w:r>
      <w:r w:rsidR="000A7DF8" w:rsidRPr="00C75D53">
        <w:rPr>
          <w:rFonts w:ascii="Times New Roman" w:hAnsi="Times New Roman" w:cs="Times New Roman"/>
          <w:i/>
          <w:iCs/>
          <w:color w:val="000000"/>
          <w:sz w:val="22"/>
          <w:szCs w:val="22"/>
        </w:rPr>
        <w:t xml:space="preserve"> </w:t>
      </w:r>
    </w:p>
    <w:p w14:paraId="09BE2DFC" w14:textId="03D09301" w:rsidR="00F00115" w:rsidRPr="005630BA" w:rsidRDefault="00F00115" w:rsidP="005630BA">
      <w:pPr>
        <w:rPr>
          <w:b/>
          <w:bCs/>
          <w:sz w:val="22"/>
          <w:szCs w:val="22"/>
        </w:rPr>
      </w:pPr>
      <w:r w:rsidRPr="005630BA">
        <w:rPr>
          <w:b/>
          <w:bCs/>
          <w:sz w:val="22"/>
          <w:szCs w:val="22"/>
        </w:rPr>
        <w:t>Holt’s – Winters Method (Multiplicative)</w:t>
      </w:r>
    </w:p>
    <w:p w14:paraId="39F8AE09" w14:textId="4FE7182F" w:rsidR="00F00115" w:rsidRPr="00C75D53" w:rsidRDefault="00F00115" w:rsidP="004A14A8">
      <w:pPr>
        <w:spacing w:beforeLines="240" w:before="576" w:after="0"/>
        <w:ind w:firstLine="720"/>
        <w:contextualSpacing/>
        <w:rPr>
          <w:rFonts w:cs="Times New Roman"/>
          <w:sz w:val="22"/>
          <w:szCs w:val="22"/>
        </w:rPr>
      </w:pPr>
      <w:r w:rsidRPr="00C75D53">
        <w:rPr>
          <w:rFonts w:cs="Times New Roman"/>
          <w:noProof/>
          <w:sz w:val="22"/>
          <w:szCs w:val="22"/>
        </w:rPr>
        <w:drawing>
          <wp:inline distT="0" distB="0" distL="0" distR="0" wp14:anchorId="28045CFE" wp14:editId="5E217048">
            <wp:extent cx="4759036" cy="239649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96950" cy="2415582"/>
                    </a:xfrm>
                    <a:prstGeom prst="rect">
                      <a:avLst/>
                    </a:prstGeom>
                    <a:noFill/>
                    <a:ln>
                      <a:noFill/>
                    </a:ln>
                  </pic:spPr>
                </pic:pic>
              </a:graphicData>
            </a:graphic>
          </wp:inline>
        </w:drawing>
      </w:r>
    </w:p>
    <w:p w14:paraId="344E5B9A" w14:textId="51874BA9" w:rsidR="00C906C2" w:rsidRPr="00C75D53" w:rsidRDefault="00C906C2" w:rsidP="004A14A8">
      <w:pPr>
        <w:spacing w:beforeLines="240" w:before="576" w:after="0"/>
        <w:ind w:left="1440" w:firstLine="720"/>
        <w:contextualSpacing/>
        <w:rPr>
          <w:rFonts w:cs="Times New Roman"/>
          <w:i/>
          <w:iCs/>
          <w:sz w:val="22"/>
          <w:szCs w:val="22"/>
        </w:rPr>
      </w:pPr>
      <w:r w:rsidRPr="00C75D53">
        <w:rPr>
          <w:rFonts w:cs="Times New Roman"/>
          <w:i/>
          <w:iCs/>
          <w:sz w:val="22"/>
          <w:szCs w:val="22"/>
        </w:rPr>
        <w:t>Figure 25: Forecast using Holt’s Winters Method (Multiplicative)</w:t>
      </w:r>
    </w:p>
    <w:p w14:paraId="5B033DA4" w14:textId="3D1CF67E" w:rsidR="00C906C2" w:rsidRPr="00C75D53" w:rsidRDefault="00C906C2" w:rsidP="00C75D53">
      <w:pPr>
        <w:spacing w:beforeLines="240" w:before="576" w:after="0"/>
        <w:contextualSpacing/>
        <w:rPr>
          <w:rFonts w:cs="Times New Roman"/>
          <w:i/>
          <w:iCs/>
          <w:sz w:val="22"/>
          <w:szCs w:val="22"/>
        </w:rPr>
      </w:pPr>
    </w:p>
    <w:p w14:paraId="4BF2CDE3" w14:textId="56143A2D" w:rsidR="00B634CF" w:rsidRPr="00C75D53" w:rsidRDefault="00C906C2" w:rsidP="00C75D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240" w:before="576" w:after="0"/>
        <w:contextualSpacing/>
        <w:textAlignment w:val="baseline"/>
        <w:rPr>
          <w:rFonts w:eastAsia="Times New Roman" w:cs="Times New Roman"/>
          <w:color w:val="000000"/>
          <w:sz w:val="22"/>
          <w:szCs w:val="22"/>
          <w:lang w:val="en-US" w:eastAsia="en-US"/>
        </w:rPr>
      </w:pPr>
      <w:r w:rsidRPr="00C75D53">
        <w:rPr>
          <w:rFonts w:eastAsia="Times New Roman" w:cs="Times New Roman"/>
          <w:color w:val="000000"/>
          <w:sz w:val="22"/>
          <w:szCs w:val="22"/>
          <w:lang w:val="en-US" w:eastAsia="en-US"/>
        </w:rPr>
        <w:t xml:space="preserve">The forecast line in </w:t>
      </w:r>
      <w:r w:rsidRPr="00C75D53">
        <w:rPr>
          <w:rFonts w:eastAsia="Times New Roman" w:cs="Times New Roman"/>
          <w:i/>
          <w:iCs/>
          <w:color w:val="000000"/>
          <w:sz w:val="22"/>
          <w:szCs w:val="22"/>
          <w:lang w:val="en-US" w:eastAsia="en-US"/>
        </w:rPr>
        <w:t>figure 25</w:t>
      </w:r>
      <w:r w:rsidRPr="00C75D53">
        <w:rPr>
          <w:rFonts w:eastAsia="Times New Roman" w:cs="Times New Roman"/>
          <w:color w:val="000000"/>
          <w:sz w:val="22"/>
          <w:szCs w:val="22"/>
          <w:lang w:val="en-US" w:eastAsia="en-US"/>
        </w:rPr>
        <w:t xml:space="preserve"> is highly compatible with the test set prices. With the MAE of 159.1028 and MSE of 39,330.9363, </w:t>
      </w:r>
      <w:r w:rsidRPr="00C75D53">
        <w:rPr>
          <w:rFonts w:cs="Times New Roman"/>
          <w:i/>
          <w:iCs/>
          <w:sz w:val="22"/>
          <w:szCs w:val="22"/>
        </w:rPr>
        <w:t xml:space="preserve">Holt’s Winters Method (Multiplicative) </w:t>
      </w:r>
      <w:r w:rsidRPr="00C75D53">
        <w:rPr>
          <w:rFonts w:eastAsia="Times New Roman" w:cs="Times New Roman"/>
          <w:color w:val="000000"/>
          <w:sz w:val="22"/>
          <w:szCs w:val="22"/>
          <w:lang w:val="en-US" w:eastAsia="en-US"/>
        </w:rPr>
        <w:t xml:space="preserve">is more accurate than both </w:t>
      </w:r>
      <w:r w:rsidRPr="00C75D53">
        <w:rPr>
          <w:rFonts w:cs="Times New Roman"/>
          <w:i/>
          <w:iCs/>
          <w:color w:val="000000"/>
          <w:sz w:val="22"/>
          <w:szCs w:val="22"/>
        </w:rPr>
        <w:t xml:space="preserve">Double Exponential Smoothing </w:t>
      </w:r>
      <w:r w:rsidRPr="00C75D53">
        <w:rPr>
          <w:rFonts w:cs="Times New Roman"/>
          <w:color w:val="000000"/>
          <w:sz w:val="22"/>
          <w:szCs w:val="22"/>
        </w:rPr>
        <w:t xml:space="preserve">method and </w:t>
      </w:r>
      <w:r w:rsidRPr="00C75D53">
        <w:rPr>
          <w:rFonts w:cs="Times New Roman"/>
          <w:i/>
          <w:iCs/>
          <w:color w:val="000000"/>
          <w:sz w:val="22"/>
          <w:szCs w:val="22"/>
        </w:rPr>
        <w:t>Holt’s Winters method</w:t>
      </w:r>
      <w:r w:rsidRPr="00C75D53">
        <w:rPr>
          <w:rFonts w:cs="Times New Roman"/>
          <w:color w:val="000000"/>
          <w:sz w:val="22"/>
          <w:szCs w:val="22"/>
        </w:rPr>
        <w:t xml:space="preserve"> </w:t>
      </w:r>
      <w:r w:rsidRPr="00C75D53">
        <w:rPr>
          <w:rFonts w:cs="Times New Roman"/>
          <w:i/>
          <w:iCs/>
          <w:color w:val="000000"/>
          <w:sz w:val="22"/>
          <w:szCs w:val="22"/>
        </w:rPr>
        <w:t>(Additive)</w:t>
      </w:r>
      <w:r w:rsidRPr="00C75D53">
        <w:rPr>
          <w:rFonts w:cs="Times New Roman"/>
          <w:color w:val="000000"/>
          <w:sz w:val="22"/>
          <w:szCs w:val="22"/>
        </w:rPr>
        <w:t xml:space="preserve"> and it is also the most accurate among all five methods. Thus, the recommended forecasting method for JET prices is the </w:t>
      </w:r>
      <w:r w:rsidRPr="00C75D53">
        <w:rPr>
          <w:rFonts w:cs="Times New Roman"/>
          <w:i/>
          <w:iCs/>
          <w:sz w:val="22"/>
          <w:szCs w:val="22"/>
        </w:rPr>
        <w:t>Holt’s Winters Method (Multiplicative)</w:t>
      </w:r>
      <w:r w:rsidRPr="00C75D53">
        <w:rPr>
          <w:rFonts w:cs="Times New Roman"/>
          <w:sz w:val="22"/>
          <w:szCs w:val="22"/>
        </w:rPr>
        <w:t>.</w:t>
      </w:r>
    </w:p>
    <w:p w14:paraId="472F059D" w14:textId="4609B72B" w:rsidR="00C17E8B" w:rsidRPr="00C75D53" w:rsidRDefault="00C17E8B" w:rsidP="004A14A8">
      <w:pPr>
        <w:pStyle w:val="Heading2"/>
        <w:numPr>
          <w:ilvl w:val="0"/>
          <w:numId w:val="11"/>
        </w:numPr>
      </w:pPr>
      <w:bookmarkStart w:id="15" w:name="_Toc134147589"/>
      <w:r w:rsidRPr="00C75D53">
        <w:lastRenderedPageBreak/>
        <w:t>Summary</w:t>
      </w:r>
      <w:r w:rsidR="006B1BAA" w:rsidRPr="00C75D53">
        <w:t>:</w:t>
      </w:r>
      <w:bookmarkEnd w:id="15"/>
    </w:p>
    <w:p w14:paraId="26BA25FD" w14:textId="2ADABECE" w:rsidR="00915C82" w:rsidRPr="00C75D53" w:rsidRDefault="00915C82" w:rsidP="00C75D53">
      <w:pPr>
        <w:spacing w:beforeLines="240" w:before="576"/>
        <w:rPr>
          <w:rFonts w:cs="Times New Roman"/>
          <w:sz w:val="22"/>
          <w:szCs w:val="22"/>
        </w:rPr>
      </w:pPr>
      <w:r w:rsidRPr="00C75D53">
        <w:rPr>
          <w:rFonts w:cs="Times New Roman"/>
          <w:sz w:val="22"/>
          <w:szCs w:val="22"/>
        </w:rPr>
        <w:t>All in all, the first key finding in this part is that FTSE stock has lower volatility than the companies with stable returns over time. Secondly, despite having wider variation and higher risk than its rival and FTSE, JET stock still has probability to generate higher returns than the others at some points of time. Thus, conservative investors are recommended to invest in the market while the opposite could consider investing in JET.</w:t>
      </w:r>
    </w:p>
    <w:p w14:paraId="56065130" w14:textId="47782ABE" w:rsidR="00915C82" w:rsidRPr="00C75D53" w:rsidRDefault="00915C82" w:rsidP="00C75D53">
      <w:pPr>
        <w:spacing w:beforeLines="240" w:before="576" w:after="0"/>
        <w:contextualSpacing/>
        <w:rPr>
          <w:rFonts w:cs="Times New Roman"/>
          <w:sz w:val="22"/>
          <w:szCs w:val="22"/>
        </w:rPr>
      </w:pPr>
      <w:r w:rsidRPr="00C75D53">
        <w:rPr>
          <w:rFonts w:cs="Times New Roman"/>
          <w:sz w:val="22"/>
          <w:szCs w:val="22"/>
        </w:rPr>
        <w:t xml:space="preserve">Furthermore, after performing correlation and regression analysis, it is found that three stocks’ prices have stronger correlation than their returns. Not only that, OCA price has positive impact on JET price whilst the opposite pattern is witnessed in FTSE price. Finally, these impacts that OCA and FTSE’s stock have on JET stock price are all significant; however, the relationship between OCA and JET price is stronger. Therefore, investors are recommended to focus on the price of JET’s rival to make forecast for future investment.  </w:t>
      </w:r>
    </w:p>
    <w:p w14:paraId="4B657CEC" w14:textId="0192BDF1" w:rsidR="00915C82" w:rsidRPr="00C75D53" w:rsidRDefault="00915C82" w:rsidP="00C75D53">
      <w:pPr>
        <w:spacing w:beforeLines="240" w:before="576" w:after="0"/>
        <w:contextualSpacing/>
        <w:rPr>
          <w:rFonts w:cs="Times New Roman"/>
          <w:sz w:val="22"/>
          <w:szCs w:val="22"/>
        </w:rPr>
      </w:pPr>
    </w:p>
    <w:p w14:paraId="516F3A9E" w14:textId="20094B45" w:rsidR="00915C82" w:rsidRPr="00C75D53" w:rsidRDefault="00915C82" w:rsidP="00C75D53">
      <w:pPr>
        <w:spacing w:beforeLines="240" w:before="576" w:after="0"/>
        <w:contextualSpacing/>
        <w:rPr>
          <w:rFonts w:cs="Times New Roman"/>
          <w:sz w:val="22"/>
          <w:szCs w:val="22"/>
        </w:rPr>
      </w:pPr>
      <w:r w:rsidRPr="00C75D53">
        <w:rPr>
          <w:rFonts w:cs="Times New Roman"/>
          <w:sz w:val="22"/>
          <w:szCs w:val="22"/>
        </w:rPr>
        <w:t xml:space="preserve">Last but not least, with the </w:t>
      </w:r>
      <w:r w:rsidRPr="00C75D53">
        <w:rPr>
          <w:rFonts w:cs="Times New Roman"/>
          <w:i/>
          <w:iCs/>
          <w:sz w:val="22"/>
          <w:szCs w:val="22"/>
        </w:rPr>
        <w:t>Holt’s Winters Method (Multiplicative)</w:t>
      </w:r>
      <w:r w:rsidRPr="00C75D53">
        <w:rPr>
          <w:rFonts w:cs="Times New Roman"/>
          <w:sz w:val="22"/>
          <w:szCs w:val="22"/>
        </w:rPr>
        <w:t xml:space="preserve">, JET’s stock value is predicted to decrease. Thus, this could be a buy signal for investors of the company in the future.  </w:t>
      </w:r>
    </w:p>
    <w:p w14:paraId="0CC61902" w14:textId="77777777" w:rsidR="00915C82" w:rsidRPr="00C75D53" w:rsidRDefault="00915C82" w:rsidP="00C75D53">
      <w:pPr>
        <w:spacing w:beforeLines="240" w:before="576"/>
        <w:rPr>
          <w:rFonts w:cs="Times New Roman"/>
          <w:sz w:val="22"/>
          <w:szCs w:val="22"/>
        </w:rPr>
      </w:pPr>
    </w:p>
    <w:p w14:paraId="3DB53D57" w14:textId="7A0D0D10" w:rsidR="00C17E8B" w:rsidRPr="00ED0CF6" w:rsidRDefault="00C17E8B" w:rsidP="00C75D53">
      <w:pPr>
        <w:pStyle w:val="Heading1"/>
        <w:numPr>
          <w:ilvl w:val="0"/>
          <w:numId w:val="8"/>
        </w:numPr>
        <w:rPr>
          <w:b/>
          <w:bCs/>
        </w:rPr>
      </w:pPr>
      <w:bookmarkStart w:id="16" w:name="_Toc134147590"/>
      <w:r w:rsidRPr="00ED0CF6">
        <w:rPr>
          <w:b/>
          <w:bCs/>
        </w:rPr>
        <w:t>Fundamental Analysis</w:t>
      </w:r>
      <w:r w:rsidR="006B1BAA" w:rsidRPr="00ED0CF6">
        <w:rPr>
          <w:b/>
          <w:bCs/>
        </w:rPr>
        <w:t>:</w:t>
      </w:r>
      <w:bookmarkEnd w:id="16"/>
    </w:p>
    <w:p w14:paraId="4EF83DB7" w14:textId="7468EEA4" w:rsidR="00C92AD0" w:rsidRPr="00ED0CF6" w:rsidRDefault="00C92AD0" w:rsidP="00ED0CF6">
      <w:pPr>
        <w:pStyle w:val="Heading2"/>
        <w:numPr>
          <w:ilvl w:val="0"/>
          <w:numId w:val="10"/>
        </w:numPr>
      </w:pPr>
      <w:bookmarkStart w:id="17" w:name="_Toc134147591"/>
      <w:r w:rsidRPr="00ED0CF6">
        <w:t>Income statements:</w:t>
      </w:r>
      <w:bookmarkEnd w:id="17"/>
    </w:p>
    <w:p w14:paraId="41B1C04A" w14:textId="76574F5B" w:rsidR="00C92AD0" w:rsidRPr="00C75D53" w:rsidRDefault="00C92AD0" w:rsidP="00C75D53">
      <w:pPr>
        <w:spacing w:beforeLines="240" w:before="576" w:after="0"/>
        <w:ind w:left="1440" w:firstLine="720"/>
        <w:contextualSpacing/>
        <w:rPr>
          <w:rFonts w:cs="Times New Roman"/>
          <w:sz w:val="22"/>
          <w:szCs w:val="22"/>
        </w:rPr>
      </w:pPr>
    </w:p>
    <w:p w14:paraId="26B4173E" w14:textId="14298445" w:rsidR="00C92AD0" w:rsidRPr="00C75D53" w:rsidRDefault="00C92AD0" w:rsidP="00C75D53">
      <w:pPr>
        <w:spacing w:beforeLines="240" w:before="576" w:after="0"/>
        <w:ind w:left="720" w:firstLine="720"/>
        <w:contextualSpacing/>
        <w:rPr>
          <w:rFonts w:cs="Times New Roman"/>
          <w:sz w:val="22"/>
          <w:szCs w:val="22"/>
        </w:rPr>
      </w:pPr>
      <w:r w:rsidRPr="00C75D53">
        <w:rPr>
          <w:rFonts w:cs="Times New Roman"/>
          <w:noProof/>
          <w:sz w:val="22"/>
          <w:szCs w:val="22"/>
        </w:rPr>
        <w:drawing>
          <wp:inline distT="0" distB="0" distL="0" distR="0" wp14:anchorId="17C3F926" wp14:editId="51EC6733">
            <wp:extent cx="3751385" cy="2159498"/>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9091" cy="2163934"/>
                    </a:xfrm>
                    <a:prstGeom prst="rect">
                      <a:avLst/>
                    </a:prstGeom>
                  </pic:spPr>
                </pic:pic>
              </a:graphicData>
            </a:graphic>
          </wp:inline>
        </w:drawing>
      </w:r>
    </w:p>
    <w:p w14:paraId="0AD79AA3" w14:textId="3A518904" w:rsidR="005A4340" w:rsidRPr="00C75D53" w:rsidRDefault="005A4340" w:rsidP="00C75D53">
      <w:pPr>
        <w:spacing w:beforeLines="240" w:before="576" w:after="0"/>
        <w:ind w:left="1440" w:firstLine="720"/>
        <w:contextualSpacing/>
        <w:rPr>
          <w:rFonts w:cs="Times New Roman"/>
          <w:i/>
          <w:iCs/>
          <w:sz w:val="22"/>
          <w:szCs w:val="22"/>
        </w:rPr>
      </w:pPr>
      <w:r w:rsidRPr="00C75D53">
        <w:rPr>
          <w:rFonts w:cs="Times New Roman"/>
          <w:i/>
          <w:iCs/>
          <w:sz w:val="22"/>
          <w:szCs w:val="22"/>
        </w:rPr>
        <w:t>Figure 26: JET income changes from 2019-2021</w:t>
      </w:r>
    </w:p>
    <w:p w14:paraId="35A91A88" w14:textId="1AF61CB1" w:rsidR="00C92AD0" w:rsidRPr="00C75D53" w:rsidRDefault="005A4340" w:rsidP="00C75D53">
      <w:pPr>
        <w:spacing w:beforeLines="240" w:before="576" w:after="0"/>
        <w:contextualSpacing/>
        <w:rPr>
          <w:rFonts w:cs="Times New Roman"/>
          <w:iCs/>
          <w:sz w:val="22"/>
          <w:szCs w:val="22"/>
        </w:rPr>
      </w:pPr>
      <w:r w:rsidRPr="00C75D53">
        <w:rPr>
          <w:rFonts w:cs="Times New Roman"/>
          <w:sz w:val="22"/>
          <w:szCs w:val="22"/>
        </w:rPr>
        <w:t xml:space="preserve">The bar chart in </w:t>
      </w:r>
      <w:r w:rsidRPr="00C75D53">
        <w:rPr>
          <w:rFonts w:cs="Times New Roman"/>
          <w:i/>
          <w:sz w:val="22"/>
          <w:szCs w:val="22"/>
        </w:rPr>
        <w:t xml:space="preserve">figure 26 </w:t>
      </w:r>
      <w:r w:rsidRPr="00C75D53">
        <w:rPr>
          <w:rFonts w:cs="Times New Roman"/>
          <w:iCs/>
          <w:sz w:val="22"/>
          <w:szCs w:val="22"/>
        </w:rPr>
        <w:t>illustrates 3 crucial components in JET’s income statement during the 3 years period from 2019 to 2021. Firstly, it could be observed that there is a massive growth in revenue of JET throughout the years despite of the impact</w:t>
      </w:r>
      <w:r w:rsidR="00871E18" w:rsidRPr="00C75D53">
        <w:rPr>
          <w:rFonts w:cs="Times New Roman"/>
          <w:iCs/>
          <w:sz w:val="22"/>
          <w:szCs w:val="22"/>
        </w:rPr>
        <w:t>s</w:t>
      </w:r>
      <w:r w:rsidRPr="00C75D53">
        <w:rPr>
          <w:rFonts w:cs="Times New Roman"/>
          <w:iCs/>
          <w:sz w:val="22"/>
          <w:szCs w:val="22"/>
        </w:rPr>
        <w:t xml:space="preserve"> of </w:t>
      </w:r>
      <w:r w:rsidR="00871E18" w:rsidRPr="00C75D53">
        <w:rPr>
          <w:rFonts w:cs="Times New Roman"/>
          <w:iCs/>
          <w:sz w:val="22"/>
          <w:szCs w:val="22"/>
        </w:rPr>
        <w:t xml:space="preserve">the </w:t>
      </w:r>
      <w:r w:rsidRPr="00C75D53">
        <w:rPr>
          <w:rFonts w:cs="Times New Roman"/>
          <w:iCs/>
          <w:sz w:val="22"/>
          <w:szCs w:val="22"/>
        </w:rPr>
        <w:t>Covid-19 pandemic in that exact period</w:t>
      </w:r>
      <w:r w:rsidR="00871E18" w:rsidRPr="00C75D53">
        <w:rPr>
          <w:rFonts w:cs="Times New Roman"/>
          <w:iCs/>
          <w:sz w:val="22"/>
          <w:szCs w:val="22"/>
        </w:rPr>
        <w:t xml:space="preserve"> on global businesses</w:t>
      </w:r>
      <w:r w:rsidRPr="00C75D53">
        <w:rPr>
          <w:rFonts w:cs="Times New Roman"/>
          <w:iCs/>
          <w:sz w:val="22"/>
          <w:szCs w:val="22"/>
        </w:rPr>
        <w:t>. This could be explained by</w:t>
      </w:r>
      <w:r w:rsidR="00871E18" w:rsidRPr="00C75D53">
        <w:rPr>
          <w:rFonts w:cs="Times New Roman"/>
          <w:iCs/>
          <w:sz w:val="22"/>
          <w:szCs w:val="22"/>
        </w:rPr>
        <w:t xml:space="preserve"> rapid growing demand for the online delivery service during and after the pandemic as lockdown policies at that time restrained people from moving around to buy foods and other necessities</w:t>
      </w:r>
      <w:r w:rsidR="00BB7DDC" w:rsidRPr="00C75D53">
        <w:rPr>
          <w:rFonts w:cs="Times New Roman"/>
          <w:iCs/>
          <w:sz w:val="22"/>
          <w:szCs w:val="22"/>
        </w:rPr>
        <w:t xml:space="preserve"> (O'Brien, 2020)</w:t>
      </w:r>
      <w:r w:rsidR="00871E18" w:rsidRPr="00C75D53">
        <w:rPr>
          <w:rFonts w:cs="Times New Roman"/>
          <w:iCs/>
          <w:sz w:val="22"/>
          <w:szCs w:val="22"/>
        </w:rPr>
        <w:t>. Although its revenue grew by about 5 times from 2019 to 2020, JET net profit shown an insignificant growth. This phenomenon results from the massive increase in the cost of sales</w:t>
      </w:r>
      <w:r w:rsidR="00A31BCF" w:rsidRPr="00C75D53">
        <w:rPr>
          <w:rFonts w:cs="Times New Roman"/>
          <w:iCs/>
          <w:sz w:val="22"/>
          <w:szCs w:val="22"/>
        </w:rPr>
        <w:t xml:space="preserve"> which is 9 time higher than the previous year. However, </w:t>
      </w:r>
      <w:r w:rsidR="00A31BCF" w:rsidRPr="00C75D53">
        <w:rPr>
          <w:rFonts w:cs="Times New Roman"/>
          <w:iCs/>
          <w:sz w:val="22"/>
          <w:szCs w:val="22"/>
        </w:rPr>
        <w:lastRenderedPageBreak/>
        <w:t>this is sensible since the company made a commitment to support its restaurants, couriers and customers during that difficult time which directly affects its profit and operational cost</w:t>
      </w:r>
      <w:r w:rsidR="00F31916" w:rsidRPr="00C75D53">
        <w:rPr>
          <w:rFonts w:cs="Times New Roman"/>
          <w:iCs/>
          <w:sz w:val="22"/>
          <w:szCs w:val="22"/>
        </w:rPr>
        <w:t xml:space="preserve"> (</w:t>
      </w:r>
      <w:r w:rsidR="00F31916" w:rsidRPr="00C75D53">
        <w:rPr>
          <w:rFonts w:cs="Times New Roman"/>
          <w:sz w:val="22"/>
          <w:szCs w:val="22"/>
        </w:rPr>
        <w:t>Just Eat Takeaway, 2020)</w:t>
      </w:r>
      <w:r w:rsidR="00A31BCF" w:rsidRPr="00C75D53">
        <w:rPr>
          <w:rFonts w:cs="Times New Roman"/>
          <w:iCs/>
          <w:sz w:val="22"/>
          <w:szCs w:val="22"/>
        </w:rPr>
        <w:t>. In 2021, due to an explosive increase in the number of customers using JET’s online app, the company’s revenue dramatically increase</w:t>
      </w:r>
      <w:r w:rsidR="00BB7DDC" w:rsidRPr="00C75D53">
        <w:rPr>
          <w:rFonts w:cs="Times New Roman"/>
          <w:iCs/>
          <w:sz w:val="22"/>
          <w:szCs w:val="22"/>
        </w:rPr>
        <w:t>d</w:t>
      </w:r>
      <w:r w:rsidR="00A31BCF" w:rsidRPr="00C75D53">
        <w:rPr>
          <w:rFonts w:cs="Times New Roman"/>
          <w:iCs/>
          <w:sz w:val="22"/>
          <w:szCs w:val="22"/>
        </w:rPr>
        <w:t xml:space="preserve"> by a double comparing to the previous year and more than ten times after 2 years. </w:t>
      </w:r>
      <w:r w:rsidR="00BB7DDC" w:rsidRPr="00C75D53">
        <w:rPr>
          <w:rFonts w:cs="Times New Roman"/>
          <w:iCs/>
          <w:sz w:val="22"/>
          <w:szCs w:val="22"/>
        </w:rPr>
        <w:t>On the other hand, the increase in sales is followed by the increase in all costs including delivery fees and cost of upscaling to meet the market demand</w:t>
      </w:r>
      <w:r w:rsidR="00F31916" w:rsidRPr="00C75D53">
        <w:rPr>
          <w:rFonts w:cs="Times New Roman"/>
          <w:iCs/>
          <w:sz w:val="22"/>
          <w:szCs w:val="22"/>
        </w:rPr>
        <w:t xml:space="preserve"> (</w:t>
      </w:r>
      <w:r w:rsidR="00F31916" w:rsidRPr="00C75D53">
        <w:rPr>
          <w:rFonts w:cs="Times New Roman"/>
          <w:sz w:val="22"/>
          <w:szCs w:val="22"/>
        </w:rPr>
        <w:t>Just Eat Takeaway, 2021)</w:t>
      </w:r>
      <w:r w:rsidR="00BB7DDC" w:rsidRPr="00C75D53">
        <w:rPr>
          <w:rFonts w:cs="Times New Roman"/>
          <w:iCs/>
          <w:sz w:val="22"/>
          <w:szCs w:val="22"/>
        </w:rPr>
        <w:t>. Nevertheless, the massive revenue in 2021 was able to cover the costs generating a stunning net profit of 1044 million pounds.</w:t>
      </w:r>
      <w:r w:rsidR="00A31BCF" w:rsidRPr="00C75D53">
        <w:rPr>
          <w:rFonts w:cs="Times New Roman"/>
          <w:iCs/>
          <w:sz w:val="22"/>
          <w:szCs w:val="22"/>
        </w:rPr>
        <w:t xml:space="preserve"> </w:t>
      </w:r>
      <w:r w:rsidR="00871E18" w:rsidRPr="00C75D53">
        <w:rPr>
          <w:rFonts w:cs="Times New Roman"/>
          <w:iCs/>
          <w:sz w:val="22"/>
          <w:szCs w:val="22"/>
        </w:rPr>
        <w:t xml:space="preserve"> </w:t>
      </w:r>
    </w:p>
    <w:p w14:paraId="2CF4C15A" w14:textId="77777777" w:rsidR="00AA6F09" w:rsidRPr="00C75D53" w:rsidRDefault="00AA6F09" w:rsidP="00C75D53">
      <w:pPr>
        <w:spacing w:beforeLines="240" w:before="576" w:after="0"/>
        <w:contextualSpacing/>
        <w:rPr>
          <w:rFonts w:cs="Times New Roman"/>
          <w:iCs/>
          <w:sz w:val="22"/>
          <w:szCs w:val="22"/>
        </w:rPr>
      </w:pPr>
    </w:p>
    <w:p w14:paraId="3E700A0B" w14:textId="52356121" w:rsidR="00C92AD0" w:rsidRPr="00ED0CF6" w:rsidRDefault="00C92AD0" w:rsidP="00ED0CF6">
      <w:pPr>
        <w:pStyle w:val="Heading2"/>
        <w:numPr>
          <w:ilvl w:val="0"/>
          <w:numId w:val="10"/>
        </w:numPr>
      </w:pPr>
      <w:bookmarkStart w:id="18" w:name="_Toc134147592"/>
      <w:r w:rsidRPr="00ED0CF6">
        <w:t>Capital structure</w:t>
      </w:r>
      <w:r w:rsidR="00AA6F09" w:rsidRPr="00ED0CF6">
        <w:t>:</w:t>
      </w:r>
      <w:bookmarkEnd w:id="18"/>
    </w:p>
    <w:p w14:paraId="04E475F1" w14:textId="77777777" w:rsidR="00AA6F09" w:rsidRPr="00C75D53" w:rsidRDefault="00AA6F09" w:rsidP="00C75D53">
      <w:pPr>
        <w:spacing w:beforeLines="240" w:before="576" w:after="0"/>
        <w:contextualSpacing/>
        <w:rPr>
          <w:rFonts w:cs="Times New Roman"/>
          <w:sz w:val="22"/>
          <w:szCs w:val="22"/>
        </w:rPr>
      </w:pPr>
    </w:p>
    <w:p w14:paraId="2FE592CB" w14:textId="2740DFE7" w:rsidR="00457542" w:rsidRPr="00C75D53" w:rsidRDefault="00457542" w:rsidP="00C75D53">
      <w:pPr>
        <w:spacing w:beforeLines="240" w:before="576" w:after="0"/>
        <w:ind w:left="1440"/>
        <w:contextualSpacing/>
        <w:rPr>
          <w:rFonts w:cs="Times New Roman"/>
          <w:sz w:val="22"/>
          <w:szCs w:val="22"/>
        </w:rPr>
      </w:pPr>
      <w:r w:rsidRPr="00C75D53">
        <w:rPr>
          <w:rFonts w:cs="Times New Roman"/>
          <w:noProof/>
          <w:sz w:val="22"/>
          <w:szCs w:val="22"/>
        </w:rPr>
        <w:drawing>
          <wp:inline distT="0" distB="0" distL="0" distR="0" wp14:anchorId="191CDE9D" wp14:editId="670A012B">
            <wp:extent cx="4112823" cy="3323493"/>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22379" cy="3331215"/>
                    </a:xfrm>
                    <a:prstGeom prst="rect">
                      <a:avLst/>
                    </a:prstGeom>
                  </pic:spPr>
                </pic:pic>
              </a:graphicData>
            </a:graphic>
          </wp:inline>
        </w:drawing>
      </w:r>
    </w:p>
    <w:p w14:paraId="674E8A11" w14:textId="1CBAC74F" w:rsidR="00AA6F09" w:rsidRPr="00C75D53" w:rsidRDefault="00457542" w:rsidP="00C75D53">
      <w:pPr>
        <w:spacing w:beforeLines="240" w:before="576" w:after="0"/>
        <w:ind w:left="2880"/>
        <w:contextualSpacing/>
        <w:rPr>
          <w:rFonts w:cs="Times New Roman"/>
          <w:i/>
          <w:iCs/>
          <w:sz w:val="22"/>
          <w:szCs w:val="22"/>
        </w:rPr>
      </w:pPr>
      <w:r w:rsidRPr="00C75D53">
        <w:rPr>
          <w:rFonts w:cs="Times New Roman"/>
          <w:i/>
          <w:iCs/>
          <w:sz w:val="22"/>
          <w:szCs w:val="22"/>
        </w:rPr>
        <w:t>Figure</w:t>
      </w:r>
      <w:r w:rsidR="00BB7DDC" w:rsidRPr="00C75D53">
        <w:rPr>
          <w:rFonts w:cs="Times New Roman"/>
          <w:i/>
          <w:iCs/>
          <w:sz w:val="22"/>
          <w:szCs w:val="22"/>
        </w:rPr>
        <w:t xml:space="preserve"> 27: JET capital structure </w:t>
      </w:r>
    </w:p>
    <w:p w14:paraId="1C46D95F" w14:textId="77777777" w:rsidR="00AA6F09" w:rsidRPr="00C75D53" w:rsidRDefault="00AA6F09" w:rsidP="00C75D53">
      <w:pPr>
        <w:spacing w:beforeLines="240" w:before="576" w:after="0"/>
        <w:contextualSpacing/>
        <w:rPr>
          <w:rFonts w:cs="Times New Roman"/>
          <w:sz w:val="22"/>
          <w:szCs w:val="22"/>
        </w:rPr>
      </w:pPr>
    </w:p>
    <w:p w14:paraId="037E175C" w14:textId="7D1973EA" w:rsidR="00AA6F09" w:rsidRPr="00C75D53" w:rsidRDefault="00AA6F09" w:rsidP="00C75D53">
      <w:pPr>
        <w:spacing w:beforeLines="240" w:before="576" w:after="0"/>
        <w:contextualSpacing/>
        <w:rPr>
          <w:rFonts w:cs="Times New Roman"/>
          <w:sz w:val="22"/>
          <w:szCs w:val="22"/>
        </w:rPr>
      </w:pPr>
      <w:r w:rsidRPr="00C75D53">
        <w:rPr>
          <w:rFonts w:cs="Times New Roman"/>
          <w:sz w:val="22"/>
          <w:szCs w:val="22"/>
        </w:rPr>
        <w:t xml:space="preserve">With the massive revenue </w:t>
      </w:r>
      <w:r w:rsidR="00625198" w:rsidRPr="00C75D53">
        <w:rPr>
          <w:rFonts w:cs="Times New Roman"/>
          <w:sz w:val="22"/>
          <w:szCs w:val="22"/>
        </w:rPr>
        <w:t xml:space="preserve">and profit </w:t>
      </w:r>
      <w:r w:rsidRPr="00C75D53">
        <w:rPr>
          <w:rFonts w:cs="Times New Roman"/>
          <w:sz w:val="22"/>
          <w:szCs w:val="22"/>
        </w:rPr>
        <w:t xml:space="preserve">growth from 2019 to 2021; its unquestionable that </w:t>
      </w:r>
      <w:r w:rsidR="00625198" w:rsidRPr="00C75D53">
        <w:rPr>
          <w:rFonts w:cs="Times New Roman"/>
          <w:sz w:val="22"/>
          <w:szCs w:val="22"/>
        </w:rPr>
        <w:t xml:space="preserve">JET’s assets have also increased dramatically over time as shown in </w:t>
      </w:r>
      <w:r w:rsidR="00625198" w:rsidRPr="00C75D53">
        <w:rPr>
          <w:rFonts w:cs="Times New Roman"/>
          <w:i/>
          <w:iCs/>
          <w:sz w:val="22"/>
          <w:szCs w:val="22"/>
        </w:rPr>
        <w:t>figure 27</w:t>
      </w:r>
      <w:r w:rsidR="00CF57AE" w:rsidRPr="00C75D53">
        <w:rPr>
          <w:rFonts w:cs="Times New Roman"/>
          <w:sz w:val="22"/>
          <w:szCs w:val="22"/>
        </w:rPr>
        <w:t xml:space="preserve"> coming</w:t>
      </w:r>
      <w:r w:rsidR="00625198" w:rsidRPr="00C75D53">
        <w:rPr>
          <w:rFonts w:cs="Times New Roman"/>
          <w:sz w:val="22"/>
          <w:szCs w:val="22"/>
        </w:rPr>
        <w:t xml:space="preserve"> along with the increase in the company’s equity and liabilities.</w:t>
      </w:r>
      <w:r w:rsidR="00CF57AE" w:rsidRPr="00C75D53">
        <w:rPr>
          <w:rFonts w:cs="Times New Roman"/>
          <w:sz w:val="22"/>
          <w:szCs w:val="22"/>
        </w:rPr>
        <w:t xml:space="preserve"> To</w:t>
      </w:r>
      <w:r w:rsidR="00971B1B" w:rsidRPr="00C75D53">
        <w:rPr>
          <w:rFonts w:cs="Times New Roman"/>
          <w:sz w:val="22"/>
          <w:szCs w:val="22"/>
        </w:rPr>
        <w:t xml:space="preserve"> shareholders, equity is one of the most crucial factors on companies</w:t>
      </w:r>
      <w:r w:rsidR="00CF57AE" w:rsidRPr="00C75D53">
        <w:rPr>
          <w:rFonts w:cs="Times New Roman"/>
          <w:sz w:val="22"/>
          <w:szCs w:val="22"/>
        </w:rPr>
        <w:t>’</w:t>
      </w:r>
      <w:r w:rsidR="00971B1B" w:rsidRPr="00C75D53">
        <w:rPr>
          <w:rFonts w:cs="Times New Roman"/>
          <w:sz w:val="22"/>
          <w:szCs w:val="22"/>
        </w:rPr>
        <w:t xml:space="preserve"> balance sheet as </w:t>
      </w:r>
      <w:proofErr w:type="gramStart"/>
      <w:r w:rsidR="00971B1B" w:rsidRPr="00C75D53">
        <w:rPr>
          <w:rFonts w:cs="Times New Roman"/>
          <w:sz w:val="22"/>
          <w:szCs w:val="22"/>
        </w:rPr>
        <w:t>its</w:t>
      </w:r>
      <w:proofErr w:type="gramEnd"/>
      <w:r w:rsidR="00971B1B" w:rsidRPr="00C75D53">
        <w:rPr>
          <w:rFonts w:cs="Times New Roman"/>
          <w:sz w:val="22"/>
          <w:szCs w:val="22"/>
        </w:rPr>
        <w:t xml:space="preserve"> reflect the business value and financial strength</w:t>
      </w:r>
      <w:r w:rsidR="00CF57AE" w:rsidRPr="00C75D53">
        <w:rPr>
          <w:rFonts w:cs="Times New Roman"/>
          <w:sz w:val="22"/>
          <w:szCs w:val="22"/>
        </w:rPr>
        <w:t xml:space="preserve"> (Fernando 2023)</w:t>
      </w:r>
      <w:r w:rsidR="00971B1B" w:rsidRPr="00C75D53">
        <w:rPr>
          <w:rFonts w:cs="Times New Roman"/>
          <w:sz w:val="22"/>
          <w:szCs w:val="22"/>
        </w:rPr>
        <w:t xml:space="preserve">. Referring to </w:t>
      </w:r>
      <w:r w:rsidR="00625198" w:rsidRPr="00C75D53">
        <w:rPr>
          <w:rFonts w:cs="Times New Roman"/>
          <w:sz w:val="22"/>
          <w:szCs w:val="22"/>
        </w:rPr>
        <w:t>JET capital structure</w:t>
      </w:r>
      <w:r w:rsidR="00971B1B" w:rsidRPr="00C75D53">
        <w:rPr>
          <w:rFonts w:cs="Times New Roman"/>
          <w:sz w:val="22"/>
          <w:szCs w:val="22"/>
        </w:rPr>
        <w:t xml:space="preserve">, </w:t>
      </w:r>
      <w:r w:rsidR="00625198" w:rsidRPr="00C75D53">
        <w:rPr>
          <w:rFonts w:cs="Times New Roman"/>
          <w:sz w:val="22"/>
          <w:szCs w:val="22"/>
        </w:rPr>
        <w:t xml:space="preserve">its 13 times growth in equity showing </w:t>
      </w:r>
      <w:r w:rsidR="00971B1B" w:rsidRPr="00C75D53">
        <w:rPr>
          <w:rFonts w:cs="Times New Roman"/>
          <w:sz w:val="22"/>
          <w:szCs w:val="22"/>
        </w:rPr>
        <w:t>the company’s</w:t>
      </w:r>
      <w:r w:rsidR="00625198" w:rsidRPr="00C75D53">
        <w:rPr>
          <w:rFonts w:cs="Times New Roman"/>
          <w:sz w:val="22"/>
          <w:szCs w:val="22"/>
        </w:rPr>
        <w:t xml:space="preserve"> strong </w:t>
      </w:r>
      <w:r w:rsidR="00971B1B" w:rsidRPr="00C75D53">
        <w:rPr>
          <w:rFonts w:cs="Times New Roman"/>
          <w:sz w:val="22"/>
          <w:szCs w:val="22"/>
        </w:rPr>
        <w:t xml:space="preserve">financial potential to expand further in the future. </w:t>
      </w:r>
    </w:p>
    <w:p w14:paraId="0F0F1F6D" w14:textId="77777777" w:rsidR="00AA6F09" w:rsidRPr="00C75D53" w:rsidRDefault="00AA6F09" w:rsidP="00C75D53">
      <w:pPr>
        <w:spacing w:beforeLines="240" w:before="576" w:after="0"/>
        <w:ind w:left="2880"/>
        <w:contextualSpacing/>
        <w:rPr>
          <w:rFonts w:cs="Times New Roman"/>
          <w:i/>
          <w:iCs/>
          <w:sz w:val="22"/>
          <w:szCs w:val="22"/>
        </w:rPr>
      </w:pPr>
    </w:p>
    <w:p w14:paraId="256434D3" w14:textId="175CD223" w:rsidR="00A308FD" w:rsidRPr="00ED0CF6" w:rsidRDefault="00A308FD" w:rsidP="00ED0CF6">
      <w:pPr>
        <w:pStyle w:val="Heading2"/>
        <w:numPr>
          <w:ilvl w:val="0"/>
          <w:numId w:val="10"/>
        </w:numPr>
      </w:pPr>
      <w:bookmarkStart w:id="19" w:name="_Toc134147593"/>
      <w:r w:rsidRPr="00ED0CF6">
        <w:t>Strategic Analysis</w:t>
      </w:r>
      <w:r w:rsidR="00F31916" w:rsidRPr="00ED0CF6">
        <w:t>:</w:t>
      </w:r>
      <w:bookmarkEnd w:id="19"/>
    </w:p>
    <w:p w14:paraId="2A5873FB" w14:textId="57E5624A" w:rsidR="00F31916" w:rsidRPr="00C75D53" w:rsidRDefault="00F31916" w:rsidP="00C75D53">
      <w:pPr>
        <w:spacing w:beforeLines="240" w:before="576"/>
        <w:rPr>
          <w:rFonts w:cs="Times New Roman"/>
          <w:sz w:val="22"/>
          <w:szCs w:val="22"/>
        </w:rPr>
      </w:pPr>
      <w:r w:rsidRPr="00C75D53">
        <w:rPr>
          <w:rFonts w:cs="Times New Roman"/>
          <w:sz w:val="22"/>
          <w:szCs w:val="22"/>
        </w:rPr>
        <w:t xml:space="preserve">With the current position in the market, JET is pursuing an ambitious strategic objective to further expand their operation in several territories (Just Eat Takeaway, 2021). To achieve its goal, JET is having clear strategies such as </w:t>
      </w:r>
      <w:r w:rsidR="003D2F6B" w:rsidRPr="00C75D53">
        <w:rPr>
          <w:rFonts w:cs="Times New Roman"/>
          <w:sz w:val="22"/>
          <w:szCs w:val="22"/>
        </w:rPr>
        <w:t xml:space="preserve">expanding its partnerships with many well-known chains, enhancing the company’s awareness in different markets and many more. Although these are all clear and achievable goals at the moment, they all have one drawback in common which is extremely costly. </w:t>
      </w:r>
      <w:r w:rsidR="003D2F6B" w:rsidRPr="00C75D53">
        <w:rPr>
          <w:rFonts w:cs="Times New Roman"/>
          <w:sz w:val="22"/>
          <w:szCs w:val="22"/>
        </w:rPr>
        <w:lastRenderedPageBreak/>
        <w:t xml:space="preserve">This fact is represented in </w:t>
      </w:r>
      <w:r w:rsidR="003D2F6B" w:rsidRPr="00C75D53">
        <w:rPr>
          <w:rFonts w:cs="Times New Roman"/>
          <w:i/>
          <w:iCs/>
          <w:sz w:val="22"/>
          <w:szCs w:val="22"/>
        </w:rPr>
        <w:t xml:space="preserve">figure 26 </w:t>
      </w:r>
      <w:r w:rsidR="003D2F6B" w:rsidRPr="00C75D53">
        <w:rPr>
          <w:rFonts w:cs="Times New Roman"/>
          <w:sz w:val="22"/>
          <w:szCs w:val="22"/>
        </w:rPr>
        <w:t>as the company’s operational cost is increasing dramatically throughout the years. In the long-term, this could affect JET’s profitability if the company cannot bare the massive costs to pursue their goal. For instance, if Gallagher (2022) prediction about the decline in demand towards delivery services,</w:t>
      </w:r>
      <w:r w:rsidR="009F16B5" w:rsidRPr="00C75D53">
        <w:rPr>
          <w:rFonts w:cs="Times New Roman"/>
          <w:sz w:val="22"/>
          <w:szCs w:val="22"/>
        </w:rPr>
        <w:t xml:space="preserve"> it would hit directly JET’s profitability as it will not be able to generate enough revenue to cover its costs anymore. </w:t>
      </w:r>
    </w:p>
    <w:p w14:paraId="33ACDC07" w14:textId="5C2CABE2" w:rsidR="00155D09" w:rsidRPr="00ED0CF6" w:rsidRDefault="00155D09" w:rsidP="00C75D53">
      <w:pPr>
        <w:pStyle w:val="Heading1"/>
        <w:numPr>
          <w:ilvl w:val="0"/>
          <w:numId w:val="8"/>
        </w:numPr>
        <w:rPr>
          <w:b/>
          <w:bCs/>
        </w:rPr>
      </w:pPr>
      <w:bookmarkStart w:id="20" w:name="_Toc134147594"/>
      <w:r w:rsidRPr="00ED0CF6">
        <w:rPr>
          <w:b/>
          <w:bCs/>
        </w:rPr>
        <w:t>Conclusion and Suggestions</w:t>
      </w:r>
      <w:r w:rsidR="006B1BAA" w:rsidRPr="00ED0CF6">
        <w:rPr>
          <w:b/>
          <w:bCs/>
        </w:rPr>
        <w:t>:</w:t>
      </w:r>
      <w:bookmarkEnd w:id="20"/>
    </w:p>
    <w:p w14:paraId="7E7BFDD5" w14:textId="11E38A71" w:rsidR="00A34EA3" w:rsidRPr="00C75D53" w:rsidRDefault="009F16B5" w:rsidP="00C75D53">
      <w:pPr>
        <w:spacing w:beforeLines="240" w:before="576"/>
        <w:rPr>
          <w:rFonts w:cs="Times New Roman"/>
          <w:sz w:val="22"/>
          <w:szCs w:val="22"/>
        </w:rPr>
      </w:pPr>
      <w:r w:rsidRPr="00C75D53">
        <w:rPr>
          <w:rFonts w:cs="Times New Roman"/>
          <w:sz w:val="22"/>
          <w:szCs w:val="22"/>
        </w:rPr>
        <w:t>In conclusion</w:t>
      </w:r>
      <w:r w:rsidR="00AE2FE3" w:rsidRPr="00C75D53">
        <w:rPr>
          <w:rFonts w:cs="Times New Roman"/>
          <w:sz w:val="22"/>
          <w:szCs w:val="22"/>
        </w:rPr>
        <w:t xml:space="preserve">, </w:t>
      </w:r>
      <w:r w:rsidR="00A34EA3" w:rsidRPr="00C75D53">
        <w:rPr>
          <w:rFonts w:cs="Times New Roman"/>
          <w:sz w:val="22"/>
          <w:szCs w:val="22"/>
        </w:rPr>
        <w:t>there is a slight difference in the results of the technical and fundamental analysis sections of the report. On the one hand, the former section concluded that JET's stock return did not perform decently throughout the observed period with high instability. Meanwhile, the results derived from fundamental data indicate that JET has consistently high performance in recent years. Furthermore, JET's price was predicted to fall, contradicting the firm's profitability as shown in its annual reports. As a result, the recommendation for investors is to combine the results of the analyses to make precise investing decisions. While fundamental analysis can help traders investigate potentially profitable stocks, technical analysis can help them decide when and how to invest (</w:t>
      </w:r>
      <w:proofErr w:type="spellStart"/>
      <w:r w:rsidR="00A34EA3" w:rsidRPr="00C75D53">
        <w:rPr>
          <w:rFonts w:cs="Times New Roman"/>
          <w:sz w:val="22"/>
          <w:szCs w:val="22"/>
        </w:rPr>
        <w:t>Petrusheva</w:t>
      </w:r>
      <w:proofErr w:type="spellEnd"/>
      <w:r w:rsidR="00A34EA3" w:rsidRPr="00C75D53">
        <w:rPr>
          <w:rFonts w:cs="Times New Roman"/>
          <w:sz w:val="22"/>
          <w:szCs w:val="22"/>
        </w:rPr>
        <w:t xml:space="preserve"> and </w:t>
      </w:r>
      <w:proofErr w:type="spellStart"/>
      <w:r w:rsidR="00A34EA3" w:rsidRPr="00C75D53">
        <w:rPr>
          <w:rFonts w:cs="Times New Roman"/>
          <w:sz w:val="22"/>
          <w:szCs w:val="22"/>
        </w:rPr>
        <w:t>Jordanoski</w:t>
      </w:r>
      <w:proofErr w:type="spellEnd"/>
      <w:r w:rsidR="00A34EA3" w:rsidRPr="00C75D53">
        <w:rPr>
          <w:rFonts w:cs="Times New Roman"/>
          <w:sz w:val="22"/>
          <w:szCs w:val="22"/>
        </w:rPr>
        <w:t xml:space="preserve">, 2016). In case of JET, the company has impressive financial data in its reports and is absolutely worth investing in. However, to prevent the excessive volatility of the stock, as shown in the technical analysis section, investors should only make long-term investments in the company. Last but not least, the upcoming year 2022 is a suitable opportunity to purchase the stock since it is expected to fall. </w:t>
      </w:r>
    </w:p>
    <w:p w14:paraId="122CAF88" w14:textId="2667FDB0" w:rsidR="00856763" w:rsidRPr="00ED0CF6" w:rsidRDefault="00856763" w:rsidP="00C75D53">
      <w:pPr>
        <w:pStyle w:val="Heading1"/>
        <w:numPr>
          <w:ilvl w:val="0"/>
          <w:numId w:val="8"/>
        </w:numPr>
        <w:rPr>
          <w:b/>
          <w:bCs/>
        </w:rPr>
      </w:pPr>
      <w:bookmarkStart w:id="21" w:name="_Toc134147595"/>
      <w:r w:rsidRPr="00ED0CF6">
        <w:rPr>
          <w:b/>
          <w:bCs/>
        </w:rPr>
        <w:t>Reference</w:t>
      </w:r>
      <w:bookmarkEnd w:id="21"/>
    </w:p>
    <w:p w14:paraId="2F3825E6" w14:textId="77777777" w:rsidR="00C75D53" w:rsidRPr="00C75D53" w:rsidRDefault="00C75D53" w:rsidP="00C75D53">
      <w:pPr>
        <w:spacing w:beforeLines="240" w:before="576"/>
        <w:rPr>
          <w:rFonts w:cs="Times New Roman"/>
          <w:sz w:val="22"/>
          <w:szCs w:val="22"/>
        </w:rPr>
      </w:pPr>
      <w:r w:rsidRPr="00C75D53">
        <w:rPr>
          <w:rFonts w:cs="Times New Roman"/>
          <w:sz w:val="22"/>
          <w:szCs w:val="22"/>
        </w:rPr>
        <w:t xml:space="preserve">Andrade, C. (2020). Understanding the difference between standard deviation and standard error of the mean, and knowing when to use which. </w:t>
      </w:r>
      <w:r w:rsidRPr="00C75D53">
        <w:rPr>
          <w:rFonts w:cs="Times New Roman"/>
          <w:i/>
          <w:iCs/>
          <w:sz w:val="22"/>
          <w:szCs w:val="22"/>
        </w:rPr>
        <w:t>Indian Journal of Psychological Medicine</w:t>
      </w:r>
      <w:r w:rsidRPr="00C75D53">
        <w:rPr>
          <w:rFonts w:cs="Times New Roman"/>
          <w:sz w:val="22"/>
          <w:szCs w:val="22"/>
        </w:rPr>
        <w:t xml:space="preserve">, </w:t>
      </w:r>
      <w:r w:rsidRPr="00C75D53">
        <w:rPr>
          <w:rFonts w:cs="Times New Roman"/>
          <w:i/>
          <w:iCs/>
          <w:sz w:val="22"/>
          <w:szCs w:val="22"/>
        </w:rPr>
        <w:t>42</w:t>
      </w:r>
      <w:r w:rsidRPr="00C75D53">
        <w:rPr>
          <w:rFonts w:cs="Times New Roman"/>
          <w:sz w:val="22"/>
          <w:szCs w:val="22"/>
        </w:rPr>
        <w:t xml:space="preserve">(4), 409-410. </w:t>
      </w:r>
      <w:hyperlink r:id="rId33" w:history="1">
        <w:r w:rsidRPr="00C75D53">
          <w:rPr>
            <w:rStyle w:val="Hyperlink"/>
            <w:rFonts w:cs="Times New Roman"/>
            <w:sz w:val="22"/>
            <w:szCs w:val="22"/>
          </w:rPr>
          <w:t>https://doi.org/10.1177/0253717620933419</w:t>
        </w:r>
      </w:hyperlink>
      <w:r w:rsidRPr="00C75D53">
        <w:rPr>
          <w:rFonts w:cs="Times New Roman"/>
          <w:sz w:val="22"/>
          <w:szCs w:val="22"/>
        </w:rPr>
        <w:t xml:space="preserve"> </w:t>
      </w:r>
    </w:p>
    <w:p w14:paraId="1812A2DA" w14:textId="77777777" w:rsidR="00C75D53" w:rsidRPr="00C75D53" w:rsidRDefault="00C75D53" w:rsidP="00C75D53">
      <w:pPr>
        <w:spacing w:beforeLines="240" w:before="576"/>
        <w:rPr>
          <w:rFonts w:cs="Times New Roman"/>
          <w:sz w:val="22"/>
          <w:szCs w:val="22"/>
        </w:rPr>
      </w:pPr>
      <w:r w:rsidRPr="00C75D53">
        <w:rPr>
          <w:rFonts w:cs="Times New Roman"/>
          <w:sz w:val="22"/>
          <w:szCs w:val="22"/>
        </w:rPr>
        <w:t xml:space="preserve">Edison Trends. (2021). </w:t>
      </w:r>
      <w:r w:rsidRPr="00C75D53">
        <w:rPr>
          <w:rFonts w:cs="Times New Roman"/>
          <w:i/>
          <w:iCs/>
          <w:sz w:val="22"/>
          <w:szCs w:val="22"/>
        </w:rPr>
        <w:t xml:space="preserve">In UK Food Delivery Battleground, Just Eat Takes #1 Spot with 45% Market Share. </w:t>
      </w:r>
      <w:hyperlink r:id="rId34" w:anchor=":~:text=Between%20February%202020%20and%20February%202021%2C%20the%20size,was%20second%20with%2027%25%2C%20and%20Deliveroo%20had%2026%25" w:history="1">
        <w:r w:rsidRPr="00C75D53">
          <w:rPr>
            <w:rStyle w:val="Hyperlink"/>
            <w:rFonts w:cs="Times New Roman"/>
            <w:sz w:val="22"/>
            <w:szCs w:val="22"/>
          </w:rPr>
          <w:t>https://trends.edison.tech/research/uk-food-delivery.html#:~:text=Between%20February%202020%20and%20February%202021%2C%20the%20size,was%20second%20with%2027%25%2C%20and%20Deliveroo%20had%2026%25</w:t>
        </w:r>
      </w:hyperlink>
      <w:r w:rsidRPr="00C75D53">
        <w:rPr>
          <w:rFonts w:cs="Times New Roman"/>
          <w:sz w:val="22"/>
          <w:szCs w:val="22"/>
        </w:rPr>
        <w:t xml:space="preserve"> </w:t>
      </w:r>
    </w:p>
    <w:p w14:paraId="1DFE44D0" w14:textId="77777777" w:rsidR="00C75D53" w:rsidRPr="00C75D53" w:rsidRDefault="00C75D53" w:rsidP="00C75D53">
      <w:pPr>
        <w:spacing w:beforeLines="240" w:before="576"/>
        <w:rPr>
          <w:rFonts w:cs="Times New Roman"/>
          <w:sz w:val="22"/>
          <w:szCs w:val="22"/>
        </w:rPr>
      </w:pPr>
      <w:r w:rsidRPr="00C75D53">
        <w:rPr>
          <w:rFonts w:cs="Times New Roman"/>
          <w:sz w:val="22"/>
          <w:szCs w:val="22"/>
        </w:rPr>
        <w:t xml:space="preserve">Fernando, J. (2023). </w:t>
      </w:r>
      <w:r w:rsidRPr="00C75D53">
        <w:rPr>
          <w:rFonts w:cs="Times New Roman"/>
          <w:i/>
          <w:iCs/>
          <w:sz w:val="22"/>
          <w:szCs w:val="22"/>
        </w:rPr>
        <w:t>Equity for Shareholders: How It Works and How to Calculate It</w:t>
      </w:r>
      <w:r w:rsidRPr="00C75D53">
        <w:rPr>
          <w:rFonts w:cs="Times New Roman"/>
          <w:sz w:val="22"/>
          <w:szCs w:val="22"/>
        </w:rPr>
        <w:t xml:space="preserve">. Investopedia. </w:t>
      </w:r>
      <w:hyperlink r:id="rId35" w:anchor=":~:text=Equity%20represents%20the%20shareholders%E2%80%99%20stake%20in%20the%20company%2C,is%20another%20way%20the%20term%20equity%20is%20used" w:history="1">
        <w:r w:rsidRPr="00C75D53">
          <w:rPr>
            <w:rStyle w:val="Hyperlink"/>
            <w:rFonts w:cs="Times New Roman"/>
            <w:sz w:val="22"/>
            <w:szCs w:val="22"/>
          </w:rPr>
          <w:t>https://www.investopedia.com/terms/e/equity.asp#:~:text=Equity%20represents%20the%20shareholders%E2%80%99%20stake%20in%20the%20company%2C,is%20another%20way%20the%20term%20equity%20is%20used</w:t>
        </w:r>
      </w:hyperlink>
      <w:r w:rsidRPr="00C75D53">
        <w:rPr>
          <w:rFonts w:cs="Times New Roman"/>
          <w:sz w:val="22"/>
          <w:szCs w:val="22"/>
        </w:rPr>
        <w:t xml:space="preserve">. </w:t>
      </w:r>
    </w:p>
    <w:p w14:paraId="3EA29B35" w14:textId="77777777" w:rsidR="00C75D53" w:rsidRPr="00C75D53" w:rsidRDefault="00C75D53" w:rsidP="00C75D53">
      <w:pPr>
        <w:spacing w:beforeLines="240" w:before="576"/>
        <w:rPr>
          <w:rFonts w:cs="Times New Roman"/>
          <w:sz w:val="22"/>
          <w:szCs w:val="22"/>
        </w:rPr>
      </w:pPr>
      <w:r w:rsidRPr="00C75D53">
        <w:rPr>
          <w:rFonts w:cs="Times New Roman"/>
          <w:sz w:val="22"/>
          <w:szCs w:val="22"/>
        </w:rPr>
        <w:t xml:space="preserve">Freeman, J. (1995). Outliers in statistical data (3rd edition). </w:t>
      </w:r>
      <w:r w:rsidRPr="00C75D53">
        <w:rPr>
          <w:rFonts w:cs="Times New Roman"/>
          <w:i/>
          <w:iCs/>
          <w:sz w:val="22"/>
          <w:szCs w:val="22"/>
        </w:rPr>
        <w:t>The Journal of the Operational Research Society</w:t>
      </w:r>
      <w:r w:rsidRPr="00C75D53">
        <w:rPr>
          <w:rFonts w:cs="Times New Roman"/>
          <w:sz w:val="22"/>
          <w:szCs w:val="22"/>
        </w:rPr>
        <w:t xml:space="preserve">, </w:t>
      </w:r>
      <w:r w:rsidRPr="00C75D53">
        <w:rPr>
          <w:rFonts w:cs="Times New Roman"/>
          <w:i/>
          <w:iCs/>
          <w:sz w:val="22"/>
          <w:szCs w:val="22"/>
        </w:rPr>
        <w:t>46</w:t>
      </w:r>
      <w:r w:rsidRPr="00C75D53">
        <w:rPr>
          <w:rFonts w:cs="Times New Roman"/>
          <w:sz w:val="22"/>
          <w:szCs w:val="22"/>
        </w:rPr>
        <w:t xml:space="preserve">(8), 1034-1035. </w:t>
      </w:r>
      <w:hyperlink r:id="rId36" w:history="1">
        <w:r w:rsidRPr="00C75D53">
          <w:rPr>
            <w:rStyle w:val="Hyperlink"/>
            <w:rFonts w:cs="Times New Roman"/>
            <w:sz w:val="22"/>
            <w:szCs w:val="22"/>
          </w:rPr>
          <w:t>https://doi.org/10.1057/jors.1995.142</w:t>
        </w:r>
      </w:hyperlink>
      <w:r w:rsidRPr="00C75D53">
        <w:rPr>
          <w:rFonts w:cs="Times New Roman"/>
          <w:sz w:val="22"/>
          <w:szCs w:val="22"/>
        </w:rPr>
        <w:t xml:space="preserve">  </w:t>
      </w:r>
    </w:p>
    <w:p w14:paraId="7F290A34" w14:textId="77777777" w:rsidR="00C75D53" w:rsidRPr="00C75D53" w:rsidRDefault="00C75D53" w:rsidP="00C75D53">
      <w:pPr>
        <w:spacing w:beforeLines="240" w:before="576"/>
        <w:rPr>
          <w:rFonts w:cs="Times New Roman"/>
          <w:sz w:val="22"/>
          <w:szCs w:val="22"/>
        </w:rPr>
      </w:pPr>
      <w:r w:rsidRPr="00C75D53">
        <w:rPr>
          <w:rFonts w:cs="Times New Roman"/>
          <w:sz w:val="22"/>
          <w:szCs w:val="22"/>
        </w:rPr>
        <w:lastRenderedPageBreak/>
        <w:t xml:space="preserve">Froehlich, S., Grose, D., &amp; Drechsler, R. (2019). One method - all error-metrics: A three-stage approach for error-metric evaluation in approximate computing. Paper presented at the 284-287. </w:t>
      </w:r>
      <w:hyperlink r:id="rId37" w:history="1">
        <w:r w:rsidRPr="00C75D53">
          <w:rPr>
            <w:rStyle w:val="Hyperlink"/>
            <w:rFonts w:cs="Times New Roman"/>
            <w:sz w:val="22"/>
            <w:szCs w:val="22"/>
          </w:rPr>
          <w:t>https://doi.org/10.23919/DATE.2019.8715138</w:t>
        </w:r>
      </w:hyperlink>
      <w:r w:rsidRPr="00C75D53">
        <w:rPr>
          <w:rFonts w:cs="Times New Roman"/>
          <w:sz w:val="22"/>
          <w:szCs w:val="22"/>
        </w:rPr>
        <w:t xml:space="preserve"> </w:t>
      </w:r>
    </w:p>
    <w:p w14:paraId="647977CE" w14:textId="77777777" w:rsidR="00C75D53" w:rsidRPr="00C75D53" w:rsidRDefault="00C75D53" w:rsidP="00C75D53">
      <w:pPr>
        <w:spacing w:beforeLines="240" w:before="576"/>
        <w:rPr>
          <w:rFonts w:cs="Times New Roman"/>
          <w:sz w:val="22"/>
          <w:szCs w:val="22"/>
        </w:rPr>
      </w:pPr>
      <w:r w:rsidRPr="00C75D53">
        <w:rPr>
          <w:rFonts w:cs="Times New Roman"/>
          <w:sz w:val="22"/>
          <w:szCs w:val="22"/>
        </w:rPr>
        <w:t>Frost, J. (</w:t>
      </w:r>
      <w:proofErr w:type="spellStart"/>
      <w:r w:rsidRPr="00C75D53">
        <w:rPr>
          <w:rFonts w:cs="Times New Roman"/>
          <w:sz w:val="22"/>
          <w:szCs w:val="22"/>
        </w:rPr>
        <w:t>n.d</w:t>
      </w:r>
      <w:proofErr w:type="spellEnd"/>
      <w:r w:rsidRPr="00C75D53">
        <w:rPr>
          <w:rFonts w:cs="Times New Roman"/>
          <w:sz w:val="22"/>
          <w:szCs w:val="22"/>
        </w:rPr>
        <w:t>).</w:t>
      </w:r>
      <w:r w:rsidRPr="00C75D53">
        <w:rPr>
          <w:rFonts w:cs="Times New Roman"/>
          <w:i/>
          <w:iCs/>
          <w:sz w:val="22"/>
          <w:szCs w:val="22"/>
        </w:rPr>
        <w:t xml:space="preserve"> Empirical Rule: Definition &amp; Formula</w:t>
      </w:r>
      <w:r w:rsidRPr="00C75D53">
        <w:rPr>
          <w:rFonts w:cs="Times New Roman"/>
          <w:sz w:val="22"/>
          <w:szCs w:val="22"/>
        </w:rPr>
        <w:t xml:space="preserve">. Statistics by Jim. </w:t>
      </w:r>
      <w:hyperlink r:id="rId38" w:history="1">
        <w:r w:rsidRPr="00C75D53">
          <w:rPr>
            <w:rStyle w:val="Hyperlink"/>
            <w:rFonts w:cs="Times New Roman"/>
            <w:sz w:val="22"/>
            <w:szCs w:val="22"/>
          </w:rPr>
          <w:t>https://statisticsbyjim.com/probability/empirical-rule/</w:t>
        </w:r>
      </w:hyperlink>
      <w:r w:rsidRPr="00C75D53">
        <w:rPr>
          <w:rFonts w:cs="Times New Roman"/>
          <w:sz w:val="22"/>
          <w:szCs w:val="22"/>
        </w:rPr>
        <w:t xml:space="preserve"> </w:t>
      </w:r>
    </w:p>
    <w:p w14:paraId="22F6110D" w14:textId="77777777" w:rsidR="00C75D53" w:rsidRPr="00C75D53" w:rsidRDefault="00C75D53" w:rsidP="00C75D53">
      <w:pPr>
        <w:spacing w:beforeLines="240" w:before="576"/>
        <w:rPr>
          <w:rFonts w:cs="Times New Roman"/>
          <w:sz w:val="22"/>
          <w:szCs w:val="22"/>
        </w:rPr>
      </w:pPr>
      <w:r w:rsidRPr="00C75D53">
        <w:rPr>
          <w:rFonts w:cs="Times New Roman"/>
          <w:sz w:val="22"/>
          <w:szCs w:val="22"/>
        </w:rPr>
        <w:t xml:space="preserve">Gallagher, J.H. (2022). </w:t>
      </w:r>
      <w:r w:rsidRPr="00C75D53">
        <w:rPr>
          <w:rFonts w:cs="Times New Roman"/>
          <w:i/>
          <w:iCs/>
          <w:sz w:val="22"/>
          <w:szCs w:val="22"/>
        </w:rPr>
        <w:t>Increase in home delivery service usage during COVID-19 pandemic unlikely to last</w:t>
      </w:r>
      <w:r w:rsidRPr="00C75D53">
        <w:rPr>
          <w:rFonts w:cs="Times New Roman"/>
          <w:sz w:val="22"/>
          <w:szCs w:val="22"/>
        </w:rPr>
        <w:t xml:space="preserve">. Rensselaer Polytechnic Institute. </w:t>
      </w:r>
      <w:hyperlink r:id="rId39" w:history="1">
        <w:r w:rsidRPr="00C75D53">
          <w:rPr>
            <w:rStyle w:val="Hyperlink"/>
            <w:rFonts w:cs="Times New Roman"/>
            <w:sz w:val="22"/>
            <w:szCs w:val="22"/>
          </w:rPr>
          <w:t>https://phys.org/news/2022-02-home-delivery-usage-covid-pandemic.html</w:t>
        </w:r>
      </w:hyperlink>
      <w:r w:rsidRPr="00C75D53">
        <w:rPr>
          <w:rFonts w:cs="Times New Roman"/>
          <w:sz w:val="22"/>
          <w:szCs w:val="22"/>
        </w:rPr>
        <w:t xml:space="preserve"> </w:t>
      </w:r>
    </w:p>
    <w:p w14:paraId="54F8D2D3" w14:textId="77777777" w:rsidR="00C75D53" w:rsidRPr="00C75D53" w:rsidRDefault="00C75D53" w:rsidP="00C75D53">
      <w:pPr>
        <w:spacing w:beforeLines="240" w:before="576"/>
        <w:rPr>
          <w:rFonts w:cs="Times New Roman"/>
          <w:sz w:val="22"/>
          <w:szCs w:val="22"/>
        </w:rPr>
      </w:pPr>
      <w:r w:rsidRPr="00C75D53">
        <w:rPr>
          <w:rFonts w:cs="Times New Roman"/>
          <w:sz w:val="22"/>
          <w:szCs w:val="22"/>
        </w:rPr>
        <w:t xml:space="preserve">Hayes, A. (2022). </w:t>
      </w:r>
      <w:r w:rsidRPr="00C75D53">
        <w:rPr>
          <w:rFonts w:cs="Times New Roman"/>
          <w:i/>
          <w:iCs/>
          <w:sz w:val="22"/>
          <w:szCs w:val="22"/>
        </w:rPr>
        <w:t>Empirical Rule: Definition, Formula, Example, How It's Used</w:t>
      </w:r>
      <w:r w:rsidRPr="00C75D53">
        <w:rPr>
          <w:rFonts w:cs="Times New Roman"/>
          <w:sz w:val="22"/>
          <w:szCs w:val="22"/>
        </w:rPr>
        <w:t>. Investopedia.</w:t>
      </w:r>
      <w:r w:rsidRPr="00C75D53">
        <w:rPr>
          <w:rFonts w:cs="Times New Roman"/>
          <w:i/>
          <w:iCs/>
          <w:sz w:val="22"/>
          <w:szCs w:val="22"/>
        </w:rPr>
        <w:t xml:space="preserve"> </w:t>
      </w:r>
      <w:hyperlink r:id="rId40" w:anchor=":~:text=The%20empirical%20rule%20is%20used%20often%20in%20statistics,the%20impending%20data%20to%20be%20collected%20and%20analyzed" w:history="1">
        <w:r w:rsidRPr="00C75D53">
          <w:rPr>
            <w:rStyle w:val="Hyperlink"/>
            <w:rFonts w:cs="Times New Roman"/>
            <w:sz w:val="22"/>
            <w:szCs w:val="22"/>
          </w:rPr>
          <w:t>https://www.investopedia.com/terms/e/empirical-rule.asp#:~:text=The%20empirical%20rule%20is%20used%20often%20in%20statistics,the%20impending%20data%20to%20be%20collected%20and%20analyzed</w:t>
        </w:r>
      </w:hyperlink>
      <w:r w:rsidRPr="00C75D53">
        <w:rPr>
          <w:rFonts w:cs="Times New Roman"/>
          <w:sz w:val="22"/>
          <w:szCs w:val="22"/>
        </w:rPr>
        <w:t xml:space="preserve"> </w:t>
      </w:r>
    </w:p>
    <w:p w14:paraId="68BCBDD8" w14:textId="77777777" w:rsidR="00C75D53" w:rsidRPr="00C75D53" w:rsidRDefault="00C75D53" w:rsidP="00C75D53">
      <w:pPr>
        <w:spacing w:beforeLines="240" w:before="576"/>
        <w:rPr>
          <w:rFonts w:cs="Times New Roman"/>
          <w:sz w:val="22"/>
          <w:szCs w:val="22"/>
        </w:rPr>
      </w:pPr>
      <w:r w:rsidRPr="00C75D53">
        <w:rPr>
          <w:rFonts w:cs="Times New Roman"/>
          <w:sz w:val="22"/>
          <w:szCs w:val="22"/>
        </w:rPr>
        <w:t xml:space="preserve">Just Eat Takeaway. (2020). </w:t>
      </w:r>
      <w:r w:rsidRPr="00C75D53">
        <w:rPr>
          <w:rFonts w:cs="Times New Roman"/>
          <w:i/>
          <w:iCs/>
          <w:sz w:val="22"/>
          <w:szCs w:val="22"/>
        </w:rPr>
        <w:t>Annual Report 2020</w:t>
      </w:r>
      <w:r w:rsidRPr="00C75D53">
        <w:rPr>
          <w:rFonts w:cs="Times New Roman"/>
          <w:sz w:val="22"/>
          <w:szCs w:val="22"/>
        </w:rPr>
        <w:t xml:space="preserve">. </w:t>
      </w:r>
      <w:hyperlink r:id="rId41" w:history="1">
        <w:r w:rsidRPr="00C75D53">
          <w:rPr>
            <w:rStyle w:val="Hyperlink"/>
            <w:rFonts w:cs="Times New Roman"/>
            <w:sz w:val="22"/>
            <w:szCs w:val="22"/>
          </w:rPr>
          <w:t>https://www.annreports.com/just-eat-takeawaycom/just-eat-takeawaycom-ar-2020.pdf</w:t>
        </w:r>
      </w:hyperlink>
      <w:r w:rsidRPr="00C75D53">
        <w:rPr>
          <w:rFonts w:cs="Times New Roman"/>
          <w:sz w:val="22"/>
          <w:szCs w:val="22"/>
        </w:rPr>
        <w:t xml:space="preserve"> </w:t>
      </w:r>
    </w:p>
    <w:p w14:paraId="2BCBF577" w14:textId="77777777" w:rsidR="00C75D53" w:rsidRPr="00C75D53" w:rsidRDefault="00C75D53" w:rsidP="00C75D53">
      <w:pPr>
        <w:spacing w:beforeLines="240" w:before="576"/>
        <w:rPr>
          <w:rFonts w:cs="Times New Roman"/>
          <w:sz w:val="22"/>
          <w:szCs w:val="22"/>
        </w:rPr>
      </w:pPr>
      <w:r w:rsidRPr="00C75D53">
        <w:rPr>
          <w:rFonts w:cs="Times New Roman"/>
          <w:sz w:val="22"/>
          <w:szCs w:val="22"/>
        </w:rPr>
        <w:t xml:space="preserve">Just Eat Takeaway. (2021). </w:t>
      </w:r>
      <w:r w:rsidRPr="00C75D53">
        <w:rPr>
          <w:rFonts w:cs="Times New Roman"/>
          <w:i/>
          <w:iCs/>
          <w:sz w:val="22"/>
          <w:szCs w:val="22"/>
        </w:rPr>
        <w:t>Annual Report 2021</w:t>
      </w:r>
      <w:r w:rsidRPr="00C75D53">
        <w:rPr>
          <w:rFonts w:cs="Times New Roman"/>
          <w:sz w:val="22"/>
          <w:szCs w:val="22"/>
        </w:rPr>
        <w:t xml:space="preserve">. </w:t>
      </w:r>
      <w:hyperlink r:id="rId42" w:history="1">
        <w:r w:rsidRPr="00C75D53">
          <w:rPr>
            <w:rStyle w:val="Hyperlink"/>
            <w:rFonts w:cs="Times New Roman"/>
            <w:sz w:val="22"/>
            <w:szCs w:val="22"/>
          </w:rPr>
          <w:t>https://www.annreports.com/just-eat-takeawaycom/just-eat-takeawaycom-ar-2021.pdf</w:t>
        </w:r>
      </w:hyperlink>
      <w:r w:rsidRPr="00C75D53">
        <w:rPr>
          <w:rFonts w:cs="Times New Roman"/>
          <w:sz w:val="22"/>
          <w:szCs w:val="22"/>
        </w:rPr>
        <w:t xml:space="preserve"> </w:t>
      </w:r>
    </w:p>
    <w:p w14:paraId="4A94A295" w14:textId="77777777" w:rsidR="00C75D53" w:rsidRPr="00C75D53" w:rsidRDefault="00C75D53" w:rsidP="00C75D53">
      <w:pPr>
        <w:spacing w:beforeLines="240" w:before="576"/>
        <w:rPr>
          <w:rFonts w:cs="Times New Roman"/>
          <w:sz w:val="22"/>
          <w:szCs w:val="22"/>
        </w:rPr>
      </w:pPr>
      <w:r w:rsidRPr="00C75D53">
        <w:rPr>
          <w:rFonts w:cs="Times New Roman"/>
          <w:sz w:val="22"/>
          <w:szCs w:val="22"/>
        </w:rPr>
        <w:t xml:space="preserve">Liu, Y. (2008). Box plots: Use and interpretation. </w:t>
      </w:r>
      <w:r w:rsidRPr="00C75D53">
        <w:rPr>
          <w:rFonts w:cs="Times New Roman"/>
          <w:i/>
          <w:iCs/>
          <w:sz w:val="22"/>
          <w:szCs w:val="22"/>
        </w:rPr>
        <w:t>Transfusion (Philadelphia, Pa.), 48</w:t>
      </w:r>
      <w:r w:rsidRPr="00C75D53">
        <w:rPr>
          <w:rFonts w:cs="Times New Roman"/>
          <w:sz w:val="22"/>
          <w:szCs w:val="22"/>
        </w:rPr>
        <w:t xml:space="preserve">(11), 2279-2280. </w:t>
      </w:r>
      <w:hyperlink r:id="rId43" w:history="1">
        <w:r w:rsidRPr="00C75D53">
          <w:rPr>
            <w:rStyle w:val="Hyperlink"/>
            <w:rFonts w:cs="Times New Roman"/>
            <w:sz w:val="22"/>
            <w:szCs w:val="22"/>
          </w:rPr>
          <w:t>https://doi.org/10.1111/j.1537-2995.2008.01925.x</w:t>
        </w:r>
      </w:hyperlink>
    </w:p>
    <w:p w14:paraId="432E0B7D" w14:textId="77777777" w:rsidR="00C75D53" w:rsidRPr="00C75D53" w:rsidRDefault="00C75D53" w:rsidP="00C75D53">
      <w:pPr>
        <w:spacing w:beforeLines="240" w:before="576"/>
        <w:rPr>
          <w:rFonts w:cs="Times New Roman"/>
          <w:sz w:val="22"/>
          <w:szCs w:val="22"/>
        </w:rPr>
      </w:pPr>
      <w:r w:rsidRPr="00C75D53">
        <w:rPr>
          <w:rFonts w:cs="Times New Roman"/>
          <w:sz w:val="22"/>
          <w:szCs w:val="22"/>
        </w:rPr>
        <w:t xml:space="preserve">O'Brien, S.A. (2020). </w:t>
      </w:r>
      <w:r w:rsidRPr="00C75D53">
        <w:rPr>
          <w:rFonts w:cs="Times New Roman"/>
          <w:i/>
          <w:iCs/>
          <w:sz w:val="22"/>
          <w:szCs w:val="22"/>
        </w:rPr>
        <w:t>The pandemic boosted food delivery companies. Soon they may face a reality</w:t>
      </w:r>
      <w:r w:rsidRPr="00C75D53">
        <w:rPr>
          <w:rFonts w:cs="Times New Roman"/>
          <w:sz w:val="22"/>
          <w:szCs w:val="22"/>
        </w:rPr>
        <w:t xml:space="preserve"> </w:t>
      </w:r>
      <w:r w:rsidRPr="00C75D53">
        <w:rPr>
          <w:rFonts w:cs="Times New Roman"/>
          <w:i/>
          <w:iCs/>
          <w:sz w:val="22"/>
          <w:szCs w:val="22"/>
        </w:rPr>
        <w:t>check</w:t>
      </w:r>
      <w:r w:rsidRPr="00C75D53">
        <w:rPr>
          <w:rFonts w:cs="Times New Roman"/>
          <w:sz w:val="22"/>
          <w:szCs w:val="22"/>
        </w:rPr>
        <w:t xml:space="preserve">. CNN Business. </w:t>
      </w:r>
      <w:hyperlink r:id="rId44" w:history="1">
        <w:r w:rsidRPr="00C75D53">
          <w:rPr>
            <w:rStyle w:val="Hyperlink"/>
            <w:rFonts w:cs="Times New Roman"/>
            <w:sz w:val="22"/>
            <w:szCs w:val="22"/>
          </w:rPr>
          <w:t>https://edition.cnn.com/2020/12/06/tech/food-delivery-pandemic-doordash/index.html</w:t>
        </w:r>
      </w:hyperlink>
      <w:r w:rsidRPr="00C75D53">
        <w:rPr>
          <w:rFonts w:cs="Times New Roman"/>
          <w:sz w:val="22"/>
          <w:szCs w:val="22"/>
        </w:rPr>
        <w:t xml:space="preserve">  </w:t>
      </w:r>
    </w:p>
    <w:p w14:paraId="587BA0B0" w14:textId="77777777" w:rsidR="00C75D53" w:rsidRPr="00C75D53" w:rsidRDefault="00C75D53" w:rsidP="00C75D53">
      <w:pPr>
        <w:spacing w:beforeLines="240" w:before="576"/>
        <w:rPr>
          <w:rFonts w:cs="Times New Roman"/>
          <w:sz w:val="22"/>
          <w:szCs w:val="22"/>
        </w:rPr>
      </w:pPr>
      <w:r w:rsidRPr="00C75D53">
        <w:rPr>
          <w:rFonts w:cs="Times New Roman"/>
          <w:sz w:val="22"/>
          <w:szCs w:val="22"/>
        </w:rPr>
        <w:t xml:space="preserve">Peng, C. J., Lee, K. L., &amp; Ingersoll, G. M. (2002). An introduction to logistic regression analysis and reporting. </w:t>
      </w:r>
      <w:r w:rsidRPr="00C75D53">
        <w:rPr>
          <w:rFonts w:cs="Times New Roman"/>
          <w:i/>
          <w:iCs/>
          <w:sz w:val="22"/>
          <w:szCs w:val="22"/>
        </w:rPr>
        <w:t>The Journal of Educational Research (Washington, D.C.), 96</w:t>
      </w:r>
      <w:r w:rsidRPr="00C75D53">
        <w:rPr>
          <w:rFonts w:cs="Times New Roman"/>
          <w:sz w:val="22"/>
          <w:szCs w:val="22"/>
        </w:rPr>
        <w:t xml:space="preserve">(1), 3-14. </w:t>
      </w:r>
      <w:hyperlink r:id="rId45" w:history="1">
        <w:r w:rsidRPr="00C75D53">
          <w:rPr>
            <w:rStyle w:val="Hyperlink"/>
            <w:rFonts w:cs="Times New Roman"/>
            <w:sz w:val="22"/>
            <w:szCs w:val="22"/>
          </w:rPr>
          <w:t>https://doi.org/10.1080/00220670209598786</w:t>
        </w:r>
      </w:hyperlink>
      <w:r w:rsidRPr="00C75D53">
        <w:rPr>
          <w:rFonts w:cs="Times New Roman"/>
          <w:sz w:val="22"/>
          <w:szCs w:val="22"/>
        </w:rPr>
        <w:t xml:space="preserve">  </w:t>
      </w:r>
    </w:p>
    <w:p w14:paraId="19D05775" w14:textId="77777777" w:rsidR="00C75D53" w:rsidRPr="00C75D53" w:rsidRDefault="00C75D53" w:rsidP="00C75D53">
      <w:pPr>
        <w:spacing w:beforeLines="240" w:before="576"/>
        <w:rPr>
          <w:rFonts w:cs="Times New Roman"/>
          <w:sz w:val="22"/>
          <w:szCs w:val="22"/>
        </w:rPr>
      </w:pPr>
      <w:proofErr w:type="spellStart"/>
      <w:r w:rsidRPr="00C75D53">
        <w:rPr>
          <w:rFonts w:cs="Times New Roman"/>
          <w:sz w:val="22"/>
          <w:szCs w:val="22"/>
        </w:rPr>
        <w:t>Petrusheva</w:t>
      </w:r>
      <w:proofErr w:type="spellEnd"/>
      <w:r w:rsidRPr="00C75D53">
        <w:rPr>
          <w:rFonts w:cs="Times New Roman"/>
          <w:sz w:val="22"/>
          <w:szCs w:val="22"/>
        </w:rPr>
        <w:t xml:space="preserve">, N., &amp; </w:t>
      </w:r>
      <w:proofErr w:type="spellStart"/>
      <w:r w:rsidRPr="00C75D53">
        <w:rPr>
          <w:rFonts w:cs="Times New Roman"/>
          <w:sz w:val="22"/>
          <w:szCs w:val="22"/>
        </w:rPr>
        <w:t>Jordanoski</w:t>
      </w:r>
      <w:proofErr w:type="spellEnd"/>
      <w:r w:rsidRPr="00C75D53">
        <w:rPr>
          <w:rFonts w:cs="Times New Roman"/>
          <w:sz w:val="22"/>
          <w:szCs w:val="22"/>
        </w:rPr>
        <w:t xml:space="preserve">, I. (2016). Comparative analysis between the fundamental and technical analysis of stocks. </w:t>
      </w:r>
      <w:r w:rsidRPr="00C75D53">
        <w:rPr>
          <w:rFonts w:cs="Times New Roman"/>
          <w:i/>
          <w:iCs/>
          <w:sz w:val="22"/>
          <w:szCs w:val="22"/>
        </w:rPr>
        <w:t>Journal of Process Management. New Technologies, 4</w:t>
      </w:r>
      <w:r w:rsidRPr="00C75D53">
        <w:rPr>
          <w:rFonts w:cs="Times New Roman"/>
          <w:sz w:val="22"/>
          <w:szCs w:val="22"/>
        </w:rPr>
        <w:t xml:space="preserve">(2), 26-31. </w:t>
      </w:r>
      <w:hyperlink r:id="rId46" w:history="1">
        <w:r w:rsidRPr="00C75D53">
          <w:rPr>
            <w:rStyle w:val="Hyperlink"/>
            <w:rFonts w:cs="Times New Roman"/>
            <w:sz w:val="22"/>
            <w:szCs w:val="22"/>
          </w:rPr>
          <w:t>https://doi.org/10.5937/JPMNT1602026P</w:t>
        </w:r>
      </w:hyperlink>
      <w:r w:rsidRPr="00C75D53">
        <w:rPr>
          <w:rFonts w:cs="Times New Roman"/>
          <w:sz w:val="22"/>
          <w:szCs w:val="22"/>
        </w:rPr>
        <w:t xml:space="preserve"> </w:t>
      </w:r>
    </w:p>
    <w:p w14:paraId="68B7DCF9" w14:textId="77777777" w:rsidR="00C75D53" w:rsidRPr="00C75D53" w:rsidRDefault="00C75D53" w:rsidP="00C75D53">
      <w:pPr>
        <w:spacing w:beforeLines="240" w:before="576"/>
        <w:rPr>
          <w:rFonts w:cs="Times New Roman"/>
          <w:sz w:val="22"/>
          <w:szCs w:val="22"/>
        </w:rPr>
      </w:pPr>
      <w:r w:rsidRPr="00C75D53">
        <w:rPr>
          <w:rFonts w:cs="Times New Roman"/>
          <w:sz w:val="22"/>
          <w:szCs w:val="22"/>
        </w:rPr>
        <w:t xml:space="preserve">The Investopedia Team. (2022). </w:t>
      </w:r>
      <w:r w:rsidRPr="00C75D53">
        <w:rPr>
          <w:rFonts w:cs="Times New Roman"/>
          <w:i/>
          <w:iCs/>
          <w:sz w:val="22"/>
          <w:szCs w:val="22"/>
        </w:rPr>
        <w:t xml:space="preserve">Golden Cross vs. Death Cross: What's the </w:t>
      </w:r>
      <w:proofErr w:type="gramStart"/>
      <w:r w:rsidRPr="00C75D53">
        <w:rPr>
          <w:rFonts w:cs="Times New Roman"/>
          <w:i/>
          <w:iCs/>
          <w:sz w:val="22"/>
          <w:szCs w:val="22"/>
        </w:rPr>
        <w:t>Difference?</w:t>
      </w:r>
      <w:r w:rsidRPr="00C75D53">
        <w:rPr>
          <w:rFonts w:cs="Times New Roman"/>
          <w:sz w:val="22"/>
          <w:szCs w:val="22"/>
        </w:rPr>
        <w:t>.</w:t>
      </w:r>
      <w:proofErr w:type="gramEnd"/>
      <w:r w:rsidRPr="00C75D53">
        <w:rPr>
          <w:rFonts w:cs="Times New Roman"/>
          <w:sz w:val="22"/>
          <w:szCs w:val="22"/>
        </w:rPr>
        <w:t xml:space="preserve"> Investopedia. </w:t>
      </w:r>
      <w:hyperlink r:id="rId47" w:anchor=":~:text=A%20golden%20cross%20and%20a%20death%20cross%20are,average%20crossing%20over%20a%20major%20long-term%20moving%20average." w:history="1">
        <w:r w:rsidRPr="00C75D53">
          <w:rPr>
            <w:rStyle w:val="Hyperlink"/>
            <w:rFonts w:cs="Times New Roman"/>
            <w:sz w:val="22"/>
            <w:szCs w:val="22"/>
          </w:rPr>
          <w:t>https://www.investopedia.com/ask/answers/121114/what-difference-between-golden-cross-and-death-cross-pattern.asp#:~:text=A%20golden%20cross%20and%20a%20death%20cross%20are,average%20crossing%20over%20a%20major%20long-term%20moving%20average.</w:t>
        </w:r>
      </w:hyperlink>
    </w:p>
    <w:p w14:paraId="53E12022" w14:textId="3C02FA65" w:rsidR="004D4D39" w:rsidRPr="00C75D53" w:rsidRDefault="004D4D39" w:rsidP="00C75D53">
      <w:pPr>
        <w:pStyle w:val="Heading1"/>
        <w:numPr>
          <w:ilvl w:val="0"/>
          <w:numId w:val="8"/>
        </w:numPr>
        <w:rPr>
          <w:b/>
          <w:bCs/>
        </w:rPr>
      </w:pPr>
      <w:bookmarkStart w:id="22" w:name="_Toc134147596"/>
      <w:r w:rsidRPr="00C75D53">
        <w:rPr>
          <w:b/>
          <w:bCs/>
        </w:rPr>
        <w:lastRenderedPageBreak/>
        <w:t>Appendix</w:t>
      </w:r>
      <w:bookmarkEnd w:id="22"/>
    </w:p>
    <w:p w14:paraId="3B34650D" w14:textId="77777777" w:rsidR="00E51934" w:rsidRPr="00C75D53" w:rsidRDefault="00E51934" w:rsidP="00C75D53">
      <w:pPr>
        <w:pStyle w:val="Heading2"/>
      </w:pPr>
      <w:bookmarkStart w:id="23" w:name="_Toc134147597"/>
      <w:r w:rsidRPr="00C75D53">
        <w:rPr>
          <w:rStyle w:val="Heading2Char"/>
        </w:rPr>
        <w:t>Appendix 1</w:t>
      </w:r>
      <w:r w:rsidRPr="00C75D53">
        <w:t>: Deliveroo historical data is limited from the 31</w:t>
      </w:r>
      <w:r w:rsidRPr="00C75D53">
        <w:rPr>
          <w:vertAlign w:val="superscript"/>
        </w:rPr>
        <w:t>st</w:t>
      </w:r>
      <w:r w:rsidRPr="00C75D53">
        <w:t xml:space="preserve"> of March 2021</w:t>
      </w:r>
      <w:bookmarkEnd w:id="23"/>
    </w:p>
    <w:p w14:paraId="17A4E481" w14:textId="6C4D925E" w:rsidR="004D4D39" w:rsidRPr="00C75D53" w:rsidRDefault="004D4D39" w:rsidP="00C75D53">
      <w:pPr>
        <w:spacing w:beforeLines="240" w:before="576" w:after="0"/>
        <w:contextualSpacing/>
        <w:rPr>
          <w:rFonts w:cs="Times New Roman"/>
          <w:sz w:val="22"/>
          <w:szCs w:val="22"/>
        </w:rPr>
      </w:pPr>
      <w:r w:rsidRPr="00C75D53">
        <w:rPr>
          <w:rFonts w:cs="Times New Roman"/>
          <w:noProof/>
          <w:sz w:val="22"/>
          <w:szCs w:val="22"/>
        </w:rPr>
        <w:drawing>
          <wp:inline distT="0" distB="0" distL="0" distR="0" wp14:anchorId="76F51688" wp14:editId="10B022BB">
            <wp:extent cx="5727700" cy="374142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7700" cy="3741420"/>
                    </a:xfrm>
                    <a:prstGeom prst="rect">
                      <a:avLst/>
                    </a:prstGeom>
                  </pic:spPr>
                </pic:pic>
              </a:graphicData>
            </a:graphic>
          </wp:inline>
        </w:drawing>
      </w:r>
    </w:p>
    <w:p w14:paraId="2109988C" w14:textId="082DE644" w:rsidR="00CF649C" w:rsidRPr="00C75D53" w:rsidRDefault="00CF649C" w:rsidP="00C75D53">
      <w:pPr>
        <w:spacing w:beforeLines="240" w:before="576" w:after="0"/>
        <w:contextualSpacing/>
        <w:rPr>
          <w:rFonts w:cs="Times New Roman"/>
          <w:sz w:val="22"/>
          <w:szCs w:val="22"/>
        </w:rPr>
      </w:pPr>
      <w:r w:rsidRPr="00C75D53">
        <w:rPr>
          <w:rFonts w:cs="Times New Roman"/>
          <w:sz w:val="22"/>
          <w:szCs w:val="22"/>
        </w:rPr>
        <w:t xml:space="preserve">As mentioned in the report, Deliveroo data on the stock market is limited; thus, it could not be used as a </w:t>
      </w:r>
      <w:proofErr w:type="gramStart"/>
      <w:r w:rsidRPr="00C75D53">
        <w:rPr>
          <w:rFonts w:cs="Times New Roman"/>
          <w:sz w:val="22"/>
          <w:szCs w:val="22"/>
        </w:rPr>
        <w:t>competitors</w:t>
      </w:r>
      <w:proofErr w:type="gramEnd"/>
      <w:r w:rsidRPr="00C75D53">
        <w:rPr>
          <w:rFonts w:cs="Times New Roman"/>
          <w:sz w:val="22"/>
          <w:szCs w:val="22"/>
        </w:rPr>
        <w:t xml:space="preserve"> for JET. </w:t>
      </w:r>
    </w:p>
    <w:p w14:paraId="6E75BE9A" w14:textId="77777777" w:rsidR="00E51934" w:rsidRPr="00C75D53" w:rsidRDefault="00E51934" w:rsidP="00C75D53">
      <w:pPr>
        <w:spacing w:beforeLines="240" w:before="576" w:after="0"/>
        <w:contextualSpacing/>
        <w:rPr>
          <w:rFonts w:cs="Times New Roman"/>
          <w:sz w:val="22"/>
          <w:szCs w:val="22"/>
        </w:rPr>
      </w:pPr>
    </w:p>
    <w:p w14:paraId="38DB9836" w14:textId="77777777" w:rsidR="00E51934" w:rsidRDefault="00E51934" w:rsidP="00C75D53">
      <w:pPr>
        <w:spacing w:beforeLines="240" w:before="576" w:after="0"/>
        <w:contextualSpacing/>
        <w:rPr>
          <w:rFonts w:cs="Times New Roman"/>
          <w:sz w:val="22"/>
          <w:szCs w:val="22"/>
        </w:rPr>
      </w:pPr>
    </w:p>
    <w:p w14:paraId="2C9E6F95" w14:textId="0083E155" w:rsidR="00C75D53" w:rsidRDefault="00C75D53" w:rsidP="00C75D53">
      <w:pPr>
        <w:spacing w:beforeLines="240" w:before="576" w:after="0"/>
        <w:contextualSpacing/>
        <w:rPr>
          <w:rFonts w:cs="Times New Roman"/>
          <w:sz w:val="22"/>
          <w:szCs w:val="22"/>
        </w:rPr>
      </w:pPr>
    </w:p>
    <w:p w14:paraId="5B5F07BA" w14:textId="77777777" w:rsidR="00C75D53" w:rsidRDefault="00C75D53" w:rsidP="00C75D53">
      <w:pPr>
        <w:spacing w:beforeLines="240" w:before="576" w:after="0"/>
        <w:contextualSpacing/>
        <w:rPr>
          <w:rFonts w:cs="Times New Roman"/>
          <w:sz w:val="22"/>
          <w:szCs w:val="22"/>
        </w:rPr>
      </w:pPr>
    </w:p>
    <w:p w14:paraId="227309D6" w14:textId="77777777" w:rsidR="00C75D53" w:rsidRDefault="00C75D53" w:rsidP="00C75D53">
      <w:pPr>
        <w:spacing w:beforeLines="240" w:before="576" w:after="0"/>
        <w:contextualSpacing/>
        <w:rPr>
          <w:rFonts w:cs="Times New Roman"/>
          <w:sz w:val="22"/>
          <w:szCs w:val="22"/>
        </w:rPr>
      </w:pPr>
    </w:p>
    <w:p w14:paraId="54482D14" w14:textId="77777777" w:rsidR="00C75D53" w:rsidRDefault="00C75D53" w:rsidP="00C75D53">
      <w:pPr>
        <w:spacing w:beforeLines="240" w:before="576" w:after="0"/>
        <w:contextualSpacing/>
        <w:rPr>
          <w:rFonts w:cs="Times New Roman"/>
          <w:sz w:val="22"/>
          <w:szCs w:val="22"/>
        </w:rPr>
      </w:pPr>
    </w:p>
    <w:p w14:paraId="54CA3203" w14:textId="77777777" w:rsidR="00C75D53" w:rsidRDefault="00C75D53" w:rsidP="00C75D53">
      <w:pPr>
        <w:spacing w:beforeLines="240" w:before="576" w:after="0"/>
        <w:contextualSpacing/>
        <w:rPr>
          <w:rFonts w:cs="Times New Roman"/>
          <w:sz w:val="22"/>
          <w:szCs w:val="22"/>
        </w:rPr>
      </w:pPr>
    </w:p>
    <w:p w14:paraId="473B772A" w14:textId="77777777" w:rsidR="00C46916" w:rsidRDefault="00C46916" w:rsidP="00C75D53">
      <w:pPr>
        <w:spacing w:beforeLines="240" w:before="576" w:after="0"/>
        <w:contextualSpacing/>
        <w:rPr>
          <w:rFonts w:cs="Times New Roman"/>
          <w:sz w:val="22"/>
          <w:szCs w:val="22"/>
        </w:rPr>
      </w:pPr>
    </w:p>
    <w:p w14:paraId="63904D76" w14:textId="77777777" w:rsidR="00C46916" w:rsidRDefault="00C46916" w:rsidP="00C75D53">
      <w:pPr>
        <w:spacing w:beforeLines="240" w:before="576" w:after="0"/>
        <w:contextualSpacing/>
        <w:rPr>
          <w:rFonts w:cs="Times New Roman"/>
          <w:sz w:val="22"/>
          <w:szCs w:val="22"/>
        </w:rPr>
      </w:pPr>
    </w:p>
    <w:p w14:paraId="2A631713" w14:textId="77777777" w:rsidR="00C46916" w:rsidRDefault="00C46916" w:rsidP="00C75D53">
      <w:pPr>
        <w:spacing w:beforeLines="240" w:before="576" w:after="0"/>
        <w:contextualSpacing/>
        <w:rPr>
          <w:rFonts w:cs="Times New Roman"/>
          <w:sz w:val="22"/>
          <w:szCs w:val="22"/>
        </w:rPr>
      </w:pPr>
    </w:p>
    <w:p w14:paraId="5D2242EB" w14:textId="77777777" w:rsidR="00C46916" w:rsidRDefault="00C46916" w:rsidP="00C75D53">
      <w:pPr>
        <w:spacing w:beforeLines="240" w:before="576" w:after="0"/>
        <w:contextualSpacing/>
        <w:rPr>
          <w:rFonts w:cs="Times New Roman"/>
          <w:sz w:val="22"/>
          <w:szCs w:val="22"/>
        </w:rPr>
      </w:pPr>
    </w:p>
    <w:p w14:paraId="48AAD187" w14:textId="77777777" w:rsidR="00C46916" w:rsidRDefault="00C46916" w:rsidP="00C75D53">
      <w:pPr>
        <w:spacing w:beforeLines="240" w:before="576" w:after="0"/>
        <w:contextualSpacing/>
        <w:rPr>
          <w:rFonts w:cs="Times New Roman"/>
          <w:sz w:val="22"/>
          <w:szCs w:val="22"/>
        </w:rPr>
      </w:pPr>
    </w:p>
    <w:p w14:paraId="790EC757" w14:textId="77777777" w:rsidR="00C46916" w:rsidRDefault="00C46916" w:rsidP="00C75D53">
      <w:pPr>
        <w:spacing w:beforeLines="240" w:before="576" w:after="0"/>
        <w:contextualSpacing/>
        <w:rPr>
          <w:rFonts w:cs="Times New Roman"/>
          <w:sz w:val="22"/>
          <w:szCs w:val="22"/>
        </w:rPr>
      </w:pPr>
    </w:p>
    <w:p w14:paraId="31A964EA" w14:textId="77777777" w:rsidR="00C75D53" w:rsidRPr="00C75D53" w:rsidRDefault="00C75D53" w:rsidP="00C75D53">
      <w:pPr>
        <w:spacing w:beforeLines="240" w:before="576" w:after="0"/>
        <w:contextualSpacing/>
        <w:rPr>
          <w:rFonts w:cs="Times New Roman"/>
          <w:sz w:val="22"/>
          <w:szCs w:val="22"/>
        </w:rPr>
      </w:pPr>
    </w:p>
    <w:p w14:paraId="5B6B27E2" w14:textId="6617CB08" w:rsidR="00E51934" w:rsidRPr="00C75D53" w:rsidRDefault="00E51934" w:rsidP="00C75D53">
      <w:pPr>
        <w:pStyle w:val="Heading2"/>
      </w:pPr>
      <w:bookmarkStart w:id="24" w:name="_Toc134147598"/>
      <w:r w:rsidRPr="00C75D53">
        <w:lastRenderedPageBreak/>
        <w:t>Appendix 2: Error metrics calculated for each forecasting method</w:t>
      </w:r>
      <w:bookmarkEnd w:id="24"/>
    </w:p>
    <w:p w14:paraId="2FF2CC01" w14:textId="77777777" w:rsidR="00824268" w:rsidRPr="00C75D53" w:rsidRDefault="00824268" w:rsidP="00C75D53">
      <w:pPr>
        <w:spacing w:beforeLines="240" w:before="576" w:after="0"/>
        <w:contextualSpacing/>
        <w:rPr>
          <w:rFonts w:cs="Times New Roman"/>
          <w:sz w:val="22"/>
          <w:szCs w:val="22"/>
        </w:rPr>
      </w:pPr>
    </w:p>
    <w:tbl>
      <w:tblPr>
        <w:tblStyle w:val="TableGrid"/>
        <w:tblW w:w="9045" w:type="dxa"/>
        <w:tblLook w:val="04A0" w:firstRow="1" w:lastRow="0" w:firstColumn="1" w:lastColumn="0" w:noHBand="0" w:noVBand="1"/>
      </w:tblPr>
      <w:tblGrid>
        <w:gridCol w:w="1462"/>
        <w:gridCol w:w="1497"/>
        <w:gridCol w:w="1497"/>
        <w:gridCol w:w="1490"/>
        <w:gridCol w:w="1490"/>
        <w:gridCol w:w="1609"/>
      </w:tblGrid>
      <w:tr w:rsidR="00824268" w:rsidRPr="00C75D53" w14:paraId="41630160" w14:textId="77777777" w:rsidTr="00824268">
        <w:tc>
          <w:tcPr>
            <w:tcW w:w="1462" w:type="dxa"/>
          </w:tcPr>
          <w:p w14:paraId="664499AC" w14:textId="77777777" w:rsidR="00824268" w:rsidRDefault="00824268" w:rsidP="00DD15A9">
            <w:pPr>
              <w:rPr>
                <w:sz w:val="22"/>
                <w:szCs w:val="22"/>
              </w:rPr>
            </w:pPr>
            <w:r w:rsidRPr="00DD15A9">
              <w:rPr>
                <w:sz w:val="22"/>
                <w:szCs w:val="22"/>
              </w:rPr>
              <w:t>Method</w:t>
            </w:r>
          </w:p>
          <w:p w14:paraId="6B21DAA8" w14:textId="0EEB046E" w:rsidR="00DD15A9" w:rsidRPr="00DD15A9" w:rsidRDefault="00DD15A9" w:rsidP="00DD15A9">
            <w:pPr>
              <w:rPr>
                <w:sz w:val="22"/>
                <w:szCs w:val="22"/>
              </w:rPr>
            </w:pPr>
          </w:p>
        </w:tc>
        <w:tc>
          <w:tcPr>
            <w:tcW w:w="1497" w:type="dxa"/>
          </w:tcPr>
          <w:p w14:paraId="289ACF2C" w14:textId="392F19B3" w:rsidR="00824268" w:rsidRPr="00DD15A9" w:rsidRDefault="00824268" w:rsidP="00DD15A9">
            <w:pPr>
              <w:rPr>
                <w:sz w:val="22"/>
                <w:szCs w:val="22"/>
              </w:rPr>
            </w:pPr>
            <w:r w:rsidRPr="00DD15A9">
              <w:rPr>
                <w:sz w:val="22"/>
                <w:szCs w:val="22"/>
              </w:rPr>
              <w:t>Short-term moving average</w:t>
            </w:r>
          </w:p>
        </w:tc>
        <w:tc>
          <w:tcPr>
            <w:tcW w:w="1497" w:type="dxa"/>
          </w:tcPr>
          <w:p w14:paraId="63A4187E" w14:textId="18845AC4" w:rsidR="00824268" w:rsidRPr="00DD15A9" w:rsidRDefault="00824268" w:rsidP="00DD15A9">
            <w:pPr>
              <w:rPr>
                <w:sz w:val="22"/>
                <w:szCs w:val="22"/>
              </w:rPr>
            </w:pPr>
            <w:r w:rsidRPr="00DD15A9">
              <w:rPr>
                <w:sz w:val="22"/>
                <w:szCs w:val="22"/>
              </w:rPr>
              <w:t>Single Exponential Smoothing</w:t>
            </w:r>
          </w:p>
        </w:tc>
        <w:tc>
          <w:tcPr>
            <w:tcW w:w="1490" w:type="dxa"/>
          </w:tcPr>
          <w:p w14:paraId="294C77E3" w14:textId="38A5C303" w:rsidR="00824268" w:rsidRPr="00DD15A9" w:rsidRDefault="00824268" w:rsidP="00DD15A9">
            <w:pPr>
              <w:rPr>
                <w:sz w:val="22"/>
                <w:szCs w:val="22"/>
              </w:rPr>
            </w:pPr>
            <w:r w:rsidRPr="00DD15A9">
              <w:rPr>
                <w:sz w:val="22"/>
                <w:szCs w:val="22"/>
              </w:rPr>
              <w:t>Double Exponential Smoothing</w:t>
            </w:r>
          </w:p>
        </w:tc>
        <w:tc>
          <w:tcPr>
            <w:tcW w:w="1490" w:type="dxa"/>
          </w:tcPr>
          <w:p w14:paraId="759FF855" w14:textId="564B0BE2" w:rsidR="00824268" w:rsidRPr="00DD15A9" w:rsidRDefault="00824268" w:rsidP="00DD15A9">
            <w:pPr>
              <w:rPr>
                <w:sz w:val="22"/>
                <w:szCs w:val="22"/>
              </w:rPr>
            </w:pPr>
            <w:r w:rsidRPr="00DD15A9">
              <w:rPr>
                <w:sz w:val="22"/>
                <w:szCs w:val="22"/>
              </w:rPr>
              <w:t>Holt’s – Winters Method (Additive)</w:t>
            </w:r>
          </w:p>
        </w:tc>
        <w:tc>
          <w:tcPr>
            <w:tcW w:w="1609" w:type="dxa"/>
          </w:tcPr>
          <w:p w14:paraId="1506CFEA" w14:textId="5C4F06CC" w:rsidR="00824268" w:rsidRPr="00DD15A9" w:rsidRDefault="00824268" w:rsidP="00DD15A9">
            <w:pPr>
              <w:rPr>
                <w:sz w:val="22"/>
                <w:szCs w:val="22"/>
              </w:rPr>
            </w:pPr>
            <w:r w:rsidRPr="00DD15A9">
              <w:rPr>
                <w:sz w:val="22"/>
                <w:szCs w:val="22"/>
              </w:rPr>
              <w:t>Holt’s – Winters Method (Multiplicative)</w:t>
            </w:r>
          </w:p>
        </w:tc>
      </w:tr>
      <w:tr w:rsidR="00824268" w:rsidRPr="00C75D53" w14:paraId="7DC95251" w14:textId="77777777" w:rsidTr="00824268">
        <w:tc>
          <w:tcPr>
            <w:tcW w:w="1462" w:type="dxa"/>
          </w:tcPr>
          <w:p w14:paraId="7067CA52" w14:textId="77777777" w:rsidR="00824268" w:rsidRPr="00DD15A9" w:rsidRDefault="00824268" w:rsidP="00DD15A9">
            <w:pPr>
              <w:rPr>
                <w:sz w:val="22"/>
                <w:szCs w:val="22"/>
              </w:rPr>
            </w:pPr>
            <w:r w:rsidRPr="00DD15A9">
              <w:rPr>
                <w:sz w:val="22"/>
                <w:szCs w:val="22"/>
              </w:rPr>
              <w:t>MAE</w:t>
            </w:r>
          </w:p>
          <w:p w14:paraId="0E3890A7" w14:textId="36224F7E" w:rsidR="00824268" w:rsidRPr="00DD15A9" w:rsidRDefault="00824268" w:rsidP="00DD15A9">
            <w:pPr>
              <w:rPr>
                <w:sz w:val="22"/>
                <w:szCs w:val="22"/>
              </w:rPr>
            </w:pPr>
          </w:p>
        </w:tc>
        <w:tc>
          <w:tcPr>
            <w:tcW w:w="1497" w:type="dxa"/>
          </w:tcPr>
          <w:p w14:paraId="6CE1582E" w14:textId="2777058B" w:rsidR="00824268" w:rsidRPr="00DD15A9" w:rsidRDefault="00824268" w:rsidP="00DD15A9">
            <w:pPr>
              <w:rPr>
                <w:color w:val="000000"/>
                <w:sz w:val="22"/>
                <w:szCs w:val="22"/>
              </w:rPr>
            </w:pPr>
            <w:r w:rsidRPr="00DD15A9">
              <w:rPr>
                <w:color w:val="000000"/>
                <w:sz w:val="22"/>
                <w:szCs w:val="22"/>
              </w:rPr>
              <w:t>346.6579</w:t>
            </w:r>
          </w:p>
        </w:tc>
        <w:tc>
          <w:tcPr>
            <w:tcW w:w="1497" w:type="dxa"/>
          </w:tcPr>
          <w:p w14:paraId="6D024BC9" w14:textId="560A86C7" w:rsidR="00824268" w:rsidRPr="00DD15A9" w:rsidRDefault="00824268" w:rsidP="00DD15A9">
            <w:pPr>
              <w:rPr>
                <w:color w:val="000000"/>
                <w:sz w:val="22"/>
                <w:szCs w:val="22"/>
              </w:rPr>
            </w:pPr>
            <w:r w:rsidRPr="00DD15A9">
              <w:rPr>
                <w:color w:val="000000"/>
                <w:sz w:val="22"/>
                <w:szCs w:val="22"/>
              </w:rPr>
              <w:t>310.7873</w:t>
            </w:r>
          </w:p>
        </w:tc>
        <w:tc>
          <w:tcPr>
            <w:tcW w:w="1490" w:type="dxa"/>
          </w:tcPr>
          <w:p w14:paraId="0C224BA5" w14:textId="7C593CE2" w:rsidR="00824268" w:rsidRPr="00DD15A9" w:rsidRDefault="00824268" w:rsidP="00DD15A9">
            <w:pPr>
              <w:rPr>
                <w:color w:val="000000"/>
                <w:sz w:val="22"/>
                <w:szCs w:val="22"/>
              </w:rPr>
            </w:pPr>
            <w:r w:rsidRPr="00DD15A9">
              <w:rPr>
                <w:color w:val="000000"/>
                <w:sz w:val="22"/>
                <w:szCs w:val="22"/>
              </w:rPr>
              <w:t>162.8446</w:t>
            </w:r>
          </w:p>
        </w:tc>
        <w:tc>
          <w:tcPr>
            <w:tcW w:w="1490" w:type="dxa"/>
          </w:tcPr>
          <w:p w14:paraId="1ABCA287" w14:textId="1C00F580" w:rsidR="00824268" w:rsidRPr="00DD15A9" w:rsidRDefault="00824268" w:rsidP="00DD15A9">
            <w:pPr>
              <w:rPr>
                <w:color w:val="000000"/>
                <w:sz w:val="22"/>
                <w:szCs w:val="22"/>
              </w:rPr>
            </w:pPr>
            <w:r w:rsidRPr="00DD15A9">
              <w:rPr>
                <w:color w:val="000000"/>
                <w:sz w:val="22"/>
                <w:szCs w:val="22"/>
              </w:rPr>
              <w:t>164.6826</w:t>
            </w:r>
          </w:p>
        </w:tc>
        <w:tc>
          <w:tcPr>
            <w:tcW w:w="1609" w:type="dxa"/>
          </w:tcPr>
          <w:p w14:paraId="51B3E79D" w14:textId="0681A776" w:rsidR="00824268" w:rsidRPr="00DD15A9" w:rsidRDefault="00824268" w:rsidP="00DD15A9">
            <w:pPr>
              <w:rPr>
                <w:rFonts w:eastAsia="Times New Roman"/>
                <w:color w:val="000000"/>
                <w:sz w:val="22"/>
                <w:szCs w:val="22"/>
                <w:lang w:val="en-US" w:eastAsia="en-US"/>
              </w:rPr>
            </w:pPr>
            <w:r w:rsidRPr="00DD15A9">
              <w:rPr>
                <w:rFonts w:eastAsia="Times New Roman"/>
                <w:color w:val="000000"/>
                <w:sz w:val="22"/>
                <w:szCs w:val="22"/>
                <w:lang w:val="en-US" w:eastAsia="en-US"/>
              </w:rPr>
              <w:t>159.1028</w:t>
            </w:r>
          </w:p>
        </w:tc>
      </w:tr>
      <w:tr w:rsidR="00824268" w:rsidRPr="00C75D53" w14:paraId="51219E2B" w14:textId="77777777" w:rsidTr="00824268">
        <w:tc>
          <w:tcPr>
            <w:tcW w:w="1462" w:type="dxa"/>
          </w:tcPr>
          <w:p w14:paraId="2F67D6ED" w14:textId="5B2B1C02" w:rsidR="00824268" w:rsidRPr="00DD15A9" w:rsidRDefault="00824268" w:rsidP="00DD15A9">
            <w:pPr>
              <w:rPr>
                <w:sz w:val="22"/>
                <w:szCs w:val="22"/>
              </w:rPr>
            </w:pPr>
            <w:r w:rsidRPr="00DD15A9">
              <w:rPr>
                <w:sz w:val="22"/>
                <w:szCs w:val="22"/>
              </w:rPr>
              <w:t>MSE</w:t>
            </w:r>
          </w:p>
        </w:tc>
        <w:tc>
          <w:tcPr>
            <w:tcW w:w="1497" w:type="dxa"/>
          </w:tcPr>
          <w:p w14:paraId="6886AA69" w14:textId="366895CA" w:rsidR="00824268" w:rsidRPr="00DD15A9" w:rsidRDefault="00824268" w:rsidP="00DD15A9">
            <w:pPr>
              <w:rPr>
                <w:color w:val="000000"/>
                <w:sz w:val="22"/>
                <w:szCs w:val="22"/>
              </w:rPr>
            </w:pPr>
            <w:r w:rsidRPr="00DD15A9">
              <w:rPr>
                <w:color w:val="000000"/>
                <w:sz w:val="22"/>
                <w:szCs w:val="22"/>
              </w:rPr>
              <w:t>206,777.2763</w:t>
            </w:r>
          </w:p>
        </w:tc>
        <w:tc>
          <w:tcPr>
            <w:tcW w:w="1497" w:type="dxa"/>
          </w:tcPr>
          <w:p w14:paraId="33A5A86A" w14:textId="1C00DF63" w:rsidR="00824268" w:rsidRPr="00DD15A9" w:rsidRDefault="00824268" w:rsidP="00DD15A9">
            <w:pPr>
              <w:rPr>
                <w:color w:val="000000"/>
                <w:sz w:val="22"/>
                <w:szCs w:val="22"/>
              </w:rPr>
            </w:pPr>
            <w:r w:rsidRPr="00DD15A9">
              <w:rPr>
                <w:color w:val="000000"/>
                <w:sz w:val="22"/>
                <w:szCs w:val="22"/>
              </w:rPr>
              <w:t>159,896.6132</w:t>
            </w:r>
          </w:p>
        </w:tc>
        <w:tc>
          <w:tcPr>
            <w:tcW w:w="1490" w:type="dxa"/>
          </w:tcPr>
          <w:p w14:paraId="753ABA4E" w14:textId="61C79C74" w:rsidR="00824268" w:rsidRPr="00DD15A9" w:rsidRDefault="00824268" w:rsidP="00DD15A9">
            <w:pPr>
              <w:rPr>
                <w:color w:val="000000"/>
                <w:sz w:val="22"/>
                <w:szCs w:val="22"/>
              </w:rPr>
            </w:pPr>
            <w:r w:rsidRPr="00DD15A9">
              <w:rPr>
                <w:color w:val="000000"/>
                <w:sz w:val="22"/>
                <w:szCs w:val="22"/>
              </w:rPr>
              <w:t>38,476.8763</w:t>
            </w:r>
          </w:p>
        </w:tc>
        <w:tc>
          <w:tcPr>
            <w:tcW w:w="1490" w:type="dxa"/>
          </w:tcPr>
          <w:p w14:paraId="690A2D55" w14:textId="2A594257" w:rsidR="00824268" w:rsidRPr="00DD15A9" w:rsidRDefault="00824268" w:rsidP="00DD15A9">
            <w:pPr>
              <w:rPr>
                <w:color w:val="000000"/>
                <w:sz w:val="22"/>
                <w:szCs w:val="22"/>
              </w:rPr>
            </w:pPr>
            <w:r w:rsidRPr="00DD15A9">
              <w:rPr>
                <w:color w:val="000000"/>
                <w:sz w:val="22"/>
                <w:szCs w:val="22"/>
              </w:rPr>
              <w:t>42,673.5721</w:t>
            </w:r>
          </w:p>
        </w:tc>
        <w:tc>
          <w:tcPr>
            <w:tcW w:w="1609" w:type="dxa"/>
          </w:tcPr>
          <w:p w14:paraId="4679FE67" w14:textId="341A48E3" w:rsidR="00824268" w:rsidRPr="00DD15A9" w:rsidRDefault="00824268" w:rsidP="00DD15A9">
            <w:pPr>
              <w:rPr>
                <w:rFonts w:eastAsia="Times New Roman"/>
                <w:color w:val="000000"/>
                <w:sz w:val="22"/>
                <w:szCs w:val="22"/>
                <w:lang w:val="en-US" w:eastAsia="en-US"/>
              </w:rPr>
            </w:pPr>
            <w:r w:rsidRPr="00DD15A9">
              <w:rPr>
                <w:rFonts w:eastAsia="Times New Roman"/>
                <w:color w:val="000000"/>
                <w:sz w:val="22"/>
                <w:szCs w:val="22"/>
                <w:lang w:val="en-US" w:eastAsia="en-US"/>
              </w:rPr>
              <w:t>39,330.9363</w:t>
            </w:r>
          </w:p>
        </w:tc>
      </w:tr>
    </w:tbl>
    <w:p w14:paraId="25F79705" w14:textId="77777777" w:rsidR="00C17E8B" w:rsidRPr="00C75D53" w:rsidRDefault="00C17E8B" w:rsidP="00C75D53">
      <w:pPr>
        <w:spacing w:beforeLines="240" w:before="576" w:after="0"/>
        <w:contextualSpacing/>
        <w:rPr>
          <w:rFonts w:cs="Times New Roman"/>
          <w:sz w:val="22"/>
          <w:szCs w:val="22"/>
        </w:rPr>
      </w:pPr>
    </w:p>
    <w:p w14:paraId="26695B55" w14:textId="77777777" w:rsidR="00C17E8B" w:rsidRPr="00C75D53" w:rsidRDefault="00C17E8B" w:rsidP="00C75D53">
      <w:pPr>
        <w:spacing w:beforeLines="240" w:before="576" w:after="0"/>
        <w:contextualSpacing/>
        <w:rPr>
          <w:rFonts w:cs="Times New Roman"/>
          <w:sz w:val="22"/>
          <w:szCs w:val="22"/>
        </w:rPr>
      </w:pPr>
    </w:p>
    <w:p w14:paraId="32E18E6B" w14:textId="77777777" w:rsidR="002E0E8F" w:rsidRPr="00C75D53" w:rsidRDefault="0082250E" w:rsidP="00C75D53">
      <w:pPr>
        <w:spacing w:beforeLines="240" w:before="576" w:after="0"/>
        <w:contextualSpacing/>
        <w:rPr>
          <w:rFonts w:cs="Times New Roman"/>
          <w:sz w:val="22"/>
          <w:szCs w:val="22"/>
        </w:rPr>
      </w:pPr>
      <w:r w:rsidRPr="00C75D53">
        <w:rPr>
          <w:rFonts w:cs="Times New Roman"/>
          <w:sz w:val="22"/>
          <w:szCs w:val="22"/>
        </w:rPr>
        <w:t xml:space="preserve"> </w:t>
      </w:r>
      <w:r w:rsidR="002E0E8F" w:rsidRPr="00C75D53">
        <w:rPr>
          <w:rFonts w:cs="Times New Roman"/>
          <w:sz w:val="22"/>
          <w:szCs w:val="22"/>
        </w:rPr>
        <w:t xml:space="preserve"> </w:t>
      </w:r>
    </w:p>
    <w:sectPr w:rsidR="002E0E8F" w:rsidRPr="00C75D53" w:rsidSect="00927F3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14EC2"/>
    <w:multiLevelType w:val="hybridMultilevel"/>
    <w:tmpl w:val="5C9067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3053A6"/>
    <w:multiLevelType w:val="hybridMultilevel"/>
    <w:tmpl w:val="4DC26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FC5BE3"/>
    <w:multiLevelType w:val="hybridMultilevel"/>
    <w:tmpl w:val="D33AF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AB2BA4"/>
    <w:multiLevelType w:val="hybridMultilevel"/>
    <w:tmpl w:val="AEFA2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CB6F1B"/>
    <w:multiLevelType w:val="hybridMultilevel"/>
    <w:tmpl w:val="698A2A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5D5564"/>
    <w:multiLevelType w:val="hybridMultilevel"/>
    <w:tmpl w:val="972860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3D2A5A"/>
    <w:multiLevelType w:val="hybridMultilevel"/>
    <w:tmpl w:val="7212A3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6F10C2"/>
    <w:multiLevelType w:val="hybridMultilevel"/>
    <w:tmpl w:val="884EB716"/>
    <w:lvl w:ilvl="0" w:tplc="C9D477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A345CE"/>
    <w:multiLevelType w:val="hybridMultilevel"/>
    <w:tmpl w:val="97122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98516F"/>
    <w:multiLevelType w:val="hybridMultilevel"/>
    <w:tmpl w:val="E5187570"/>
    <w:lvl w:ilvl="0" w:tplc="70A049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822F02"/>
    <w:multiLevelType w:val="hybridMultilevel"/>
    <w:tmpl w:val="BED455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966164"/>
    <w:multiLevelType w:val="hybridMultilevel"/>
    <w:tmpl w:val="AC14EF1C"/>
    <w:lvl w:ilvl="0" w:tplc="8B2449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89781A"/>
    <w:multiLevelType w:val="hybridMultilevel"/>
    <w:tmpl w:val="886E5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D96838"/>
    <w:multiLevelType w:val="hybridMultilevel"/>
    <w:tmpl w:val="ADF28C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0811015">
    <w:abstractNumId w:val="12"/>
  </w:num>
  <w:num w:numId="2" w16cid:durableId="1159155888">
    <w:abstractNumId w:val="9"/>
  </w:num>
  <w:num w:numId="3" w16cid:durableId="1399279643">
    <w:abstractNumId w:val="7"/>
  </w:num>
  <w:num w:numId="4" w16cid:durableId="1848402401">
    <w:abstractNumId w:val="8"/>
  </w:num>
  <w:num w:numId="5" w16cid:durableId="1791699301">
    <w:abstractNumId w:val="6"/>
  </w:num>
  <w:num w:numId="6" w16cid:durableId="2083679034">
    <w:abstractNumId w:val="13"/>
  </w:num>
  <w:num w:numId="7" w16cid:durableId="1263685988">
    <w:abstractNumId w:val="0"/>
  </w:num>
  <w:num w:numId="8" w16cid:durableId="224143127">
    <w:abstractNumId w:val="11"/>
  </w:num>
  <w:num w:numId="9" w16cid:durableId="377242903">
    <w:abstractNumId w:val="3"/>
  </w:num>
  <w:num w:numId="10" w16cid:durableId="909536741">
    <w:abstractNumId w:val="1"/>
  </w:num>
  <w:num w:numId="11" w16cid:durableId="510993229">
    <w:abstractNumId w:val="2"/>
  </w:num>
  <w:num w:numId="12" w16cid:durableId="687869214">
    <w:abstractNumId w:val="10"/>
  </w:num>
  <w:num w:numId="13" w16cid:durableId="109280903">
    <w:abstractNumId w:val="5"/>
  </w:num>
  <w:num w:numId="14" w16cid:durableId="20094028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D7E"/>
    <w:rsid w:val="000064CC"/>
    <w:rsid w:val="000340FB"/>
    <w:rsid w:val="0005392A"/>
    <w:rsid w:val="000703B3"/>
    <w:rsid w:val="00081BF5"/>
    <w:rsid w:val="000A7DF8"/>
    <w:rsid w:val="000B2721"/>
    <w:rsid w:val="000C5601"/>
    <w:rsid w:val="000F525F"/>
    <w:rsid w:val="000F73CC"/>
    <w:rsid w:val="00101574"/>
    <w:rsid w:val="00142C8A"/>
    <w:rsid w:val="00155D09"/>
    <w:rsid w:val="001A2679"/>
    <w:rsid w:val="001E10A1"/>
    <w:rsid w:val="001E3B2C"/>
    <w:rsid w:val="001F375C"/>
    <w:rsid w:val="001F379E"/>
    <w:rsid w:val="00222507"/>
    <w:rsid w:val="002266D2"/>
    <w:rsid w:val="0024623B"/>
    <w:rsid w:val="00253496"/>
    <w:rsid w:val="00277B78"/>
    <w:rsid w:val="00280607"/>
    <w:rsid w:val="00281047"/>
    <w:rsid w:val="00286841"/>
    <w:rsid w:val="00290C26"/>
    <w:rsid w:val="002A7185"/>
    <w:rsid w:val="002B5123"/>
    <w:rsid w:val="002B7C31"/>
    <w:rsid w:val="002D5D82"/>
    <w:rsid w:val="002E0E8F"/>
    <w:rsid w:val="002E42A6"/>
    <w:rsid w:val="00341EA0"/>
    <w:rsid w:val="00351F8C"/>
    <w:rsid w:val="0035498C"/>
    <w:rsid w:val="00355EB3"/>
    <w:rsid w:val="00363896"/>
    <w:rsid w:val="00381FFD"/>
    <w:rsid w:val="00395EDF"/>
    <w:rsid w:val="003A7FD1"/>
    <w:rsid w:val="003B4920"/>
    <w:rsid w:val="003B502E"/>
    <w:rsid w:val="003D2F6B"/>
    <w:rsid w:val="003F315D"/>
    <w:rsid w:val="00405407"/>
    <w:rsid w:val="004159EF"/>
    <w:rsid w:val="00424F05"/>
    <w:rsid w:val="00425FA4"/>
    <w:rsid w:val="00446B52"/>
    <w:rsid w:val="00457542"/>
    <w:rsid w:val="00465A1F"/>
    <w:rsid w:val="00475BCB"/>
    <w:rsid w:val="004916A1"/>
    <w:rsid w:val="00494404"/>
    <w:rsid w:val="004A14A8"/>
    <w:rsid w:val="004B2C00"/>
    <w:rsid w:val="004D4D39"/>
    <w:rsid w:val="004D773F"/>
    <w:rsid w:val="004E5428"/>
    <w:rsid w:val="004F10D1"/>
    <w:rsid w:val="004F287B"/>
    <w:rsid w:val="005074A6"/>
    <w:rsid w:val="00514A09"/>
    <w:rsid w:val="005332A2"/>
    <w:rsid w:val="00534275"/>
    <w:rsid w:val="005627C5"/>
    <w:rsid w:val="005630BA"/>
    <w:rsid w:val="00583C86"/>
    <w:rsid w:val="005A4340"/>
    <w:rsid w:val="005A5B8D"/>
    <w:rsid w:val="005C3136"/>
    <w:rsid w:val="005D07EE"/>
    <w:rsid w:val="005D170D"/>
    <w:rsid w:val="005D23A4"/>
    <w:rsid w:val="005D34D9"/>
    <w:rsid w:val="005D4493"/>
    <w:rsid w:val="005D57A9"/>
    <w:rsid w:val="005E324A"/>
    <w:rsid w:val="005F3ED7"/>
    <w:rsid w:val="005F7C9E"/>
    <w:rsid w:val="00625198"/>
    <w:rsid w:val="0063153C"/>
    <w:rsid w:val="00634C7C"/>
    <w:rsid w:val="0064085B"/>
    <w:rsid w:val="006443B6"/>
    <w:rsid w:val="00666CA1"/>
    <w:rsid w:val="006743E5"/>
    <w:rsid w:val="0069455A"/>
    <w:rsid w:val="006A1AD2"/>
    <w:rsid w:val="006B1A76"/>
    <w:rsid w:val="006B1BAA"/>
    <w:rsid w:val="006B2659"/>
    <w:rsid w:val="006B70D5"/>
    <w:rsid w:val="006D6593"/>
    <w:rsid w:val="006E5993"/>
    <w:rsid w:val="006F2759"/>
    <w:rsid w:val="007164B3"/>
    <w:rsid w:val="007623BE"/>
    <w:rsid w:val="00767779"/>
    <w:rsid w:val="007A03CC"/>
    <w:rsid w:val="007A73A6"/>
    <w:rsid w:val="007B1B28"/>
    <w:rsid w:val="007B3FC7"/>
    <w:rsid w:val="007D1CE1"/>
    <w:rsid w:val="007F1802"/>
    <w:rsid w:val="00805C82"/>
    <w:rsid w:val="0082250E"/>
    <w:rsid w:val="00824268"/>
    <w:rsid w:val="00856646"/>
    <w:rsid w:val="00856763"/>
    <w:rsid w:val="00863F2E"/>
    <w:rsid w:val="0086422E"/>
    <w:rsid w:val="00871055"/>
    <w:rsid w:val="00871E18"/>
    <w:rsid w:val="008738BD"/>
    <w:rsid w:val="008A52B9"/>
    <w:rsid w:val="008A658B"/>
    <w:rsid w:val="008C4474"/>
    <w:rsid w:val="008C750E"/>
    <w:rsid w:val="008D1BAE"/>
    <w:rsid w:val="008E0F59"/>
    <w:rsid w:val="009032EC"/>
    <w:rsid w:val="00911A72"/>
    <w:rsid w:val="00915C82"/>
    <w:rsid w:val="00926F95"/>
    <w:rsid w:val="00927F3B"/>
    <w:rsid w:val="00940149"/>
    <w:rsid w:val="0096709C"/>
    <w:rsid w:val="00971B1B"/>
    <w:rsid w:val="00986B88"/>
    <w:rsid w:val="00987652"/>
    <w:rsid w:val="009957F4"/>
    <w:rsid w:val="00997D7E"/>
    <w:rsid w:val="009A5207"/>
    <w:rsid w:val="009A61BB"/>
    <w:rsid w:val="009C7AB6"/>
    <w:rsid w:val="009C7DC1"/>
    <w:rsid w:val="009D070B"/>
    <w:rsid w:val="009E6A33"/>
    <w:rsid w:val="009F000B"/>
    <w:rsid w:val="009F16B5"/>
    <w:rsid w:val="009F3300"/>
    <w:rsid w:val="009F4A30"/>
    <w:rsid w:val="009F61D3"/>
    <w:rsid w:val="00A0142B"/>
    <w:rsid w:val="00A019FB"/>
    <w:rsid w:val="00A12747"/>
    <w:rsid w:val="00A22376"/>
    <w:rsid w:val="00A23307"/>
    <w:rsid w:val="00A26935"/>
    <w:rsid w:val="00A308FD"/>
    <w:rsid w:val="00A31BCF"/>
    <w:rsid w:val="00A32EF7"/>
    <w:rsid w:val="00A34EA3"/>
    <w:rsid w:val="00A50348"/>
    <w:rsid w:val="00A64688"/>
    <w:rsid w:val="00A8755F"/>
    <w:rsid w:val="00AA3244"/>
    <w:rsid w:val="00AA6F09"/>
    <w:rsid w:val="00AB2AF2"/>
    <w:rsid w:val="00AD689F"/>
    <w:rsid w:val="00AD7426"/>
    <w:rsid w:val="00AE2FE3"/>
    <w:rsid w:val="00AF6F25"/>
    <w:rsid w:val="00B14221"/>
    <w:rsid w:val="00B4635E"/>
    <w:rsid w:val="00B47C41"/>
    <w:rsid w:val="00B54A13"/>
    <w:rsid w:val="00B572DA"/>
    <w:rsid w:val="00B634CF"/>
    <w:rsid w:val="00B718C0"/>
    <w:rsid w:val="00B731D5"/>
    <w:rsid w:val="00B813D5"/>
    <w:rsid w:val="00B93AAB"/>
    <w:rsid w:val="00B967AB"/>
    <w:rsid w:val="00BA75B8"/>
    <w:rsid w:val="00BB3739"/>
    <w:rsid w:val="00BB61F3"/>
    <w:rsid w:val="00BB7DDC"/>
    <w:rsid w:val="00BD3D6E"/>
    <w:rsid w:val="00BE5FC8"/>
    <w:rsid w:val="00BE7A5F"/>
    <w:rsid w:val="00C12ADC"/>
    <w:rsid w:val="00C17E8B"/>
    <w:rsid w:val="00C24A89"/>
    <w:rsid w:val="00C46916"/>
    <w:rsid w:val="00C75D53"/>
    <w:rsid w:val="00C851A6"/>
    <w:rsid w:val="00C906C2"/>
    <w:rsid w:val="00C92A93"/>
    <w:rsid w:val="00C92AD0"/>
    <w:rsid w:val="00CA2608"/>
    <w:rsid w:val="00CA319D"/>
    <w:rsid w:val="00CC2F72"/>
    <w:rsid w:val="00CD42D1"/>
    <w:rsid w:val="00CE5323"/>
    <w:rsid w:val="00CE6507"/>
    <w:rsid w:val="00CF57AE"/>
    <w:rsid w:val="00CF649C"/>
    <w:rsid w:val="00D133FC"/>
    <w:rsid w:val="00D15EF1"/>
    <w:rsid w:val="00D45092"/>
    <w:rsid w:val="00D71743"/>
    <w:rsid w:val="00D730CD"/>
    <w:rsid w:val="00D74545"/>
    <w:rsid w:val="00DC3955"/>
    <w:rsid w:val="00DD15A9"/>
    <w:rsid w:val="00DD174F"/>
    <w:rsid w:val="00DF4E9E"/>
    <w:rsid w:val="00E10F07"/>
    <w:rsid w:val="00E134D6"/>
    <w:rsid w:val="00E14E79"/>
    <w:rsid w:val="00E179FB"/>
    <w:rsid w:val="00E51934"/>
    <w:rsid w:val="00E728AA"/>
    <w:rsid w:val="00E800A7"/>
    <w:rsid w:val="00E870F6"/>
    <w:rsid w:val="00E92C12"/>
    <w:rsid w:val="00EB28F9"/>
    <w:rsid w:val="00EC50F0"/>
    <w:rsid w:val="00ED0CF6"/>
    <w:rsid w:val="00EE591C"/>
    <w:rsid w:val="00EF5753"/>
    <w:rsid w:val="00F00115"/>
    <w:rsid w:val="00F13719"/>
    <w:rsid w:val="00F14171"/>
    <w:rsid w:val="00F264F7"/>
    <w:rsid w:val="00F31916"/>
    <w:rsid w:val="00F4090B"/>
    <w:rsid w:val="00F6733D"/>
    <w:rsid w:val="00F90B4E"/>
    <w:rsid w:val="00FA52A5"/>
    <w:rsid w:val="00FB4D98"/>
    <w:rsid w:val="00FD3699"/>
    <w:rsid w:val="00FD7207"/>
    <w:rsid w:val="00FD741B"/>
    <w:rsid w:val="00FD7B12"/>
    <w:rsid w:val="00FE4FE5"/>
    <w:rsid w:val="00FF0915"/>
    <w:rsid w:val="00FF402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3FE29"/>
  <w15:chartTrackingRefBased/>
  <w15:docId w15:val="{7D2CACB5-AF07-C44D-9D58-676B2DC72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0F0"/>
    <w:pPr>
      <w:spacing w:before="240" w:after="240"/>
    </w:pPr>
    <w:rPr>
      <w:rFonts w:ascii="Times New Roman" w:hAnsi="Times New Roman"/>
    </w:rPr>
  </w:style>
  <w:style w:type="paragraph" w:styleId="Heading1">
    <w:name w:val="heading 1"/>
    <w:basedOn w:val="Normal"/>
    <w:next w:val="Normal"/>
    <w:link w:val="Heading1Char"/>
    <w:uiPriority w:val="9"/>
    <w:qFormat/>
    <w:rsid w:val="00997D7E"/>
    <w:pPr>
      <w:keepNext/>
      <w:keepLines/>
      <w:spacing w:before="480" w:after="360"/>
      <w:outlineLvl w:val="0"/>
    </w:pPr>
    <w:rPr>
      <w:rFonts w:eastAsiaTheme="majorEastAsia" w:cstheme="majorBidi"/>
      <w:color w:val="000000" w:themeColor="text1"/>
      <w:sz w:val="44"/>
      <w:szCs w:val="32"/>
    </w:rPr>
  </w:style>
  <w:style w:type="paragraph" w:styleId="Heading2">
    <w:name w:val="heading 2"/>
    <w:basedOn w:val="Normal"/>
    <w:next w:val="Normal"/>
    <w:link w:val="Heading2Char"/>
    <w:uiPriority w:val="9"/>
    <w:unhideWhenUsed/>
    <w:qFormat/>
    <w:rsid w:val="0005392A"/>
    <w:pPr>
      <w:keepNext/>
      <w:keepLines/>
      <w:spacing w:before="280"/>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82250E"/>
    <w:pPr>
      <w:keepNext/>
      <w:keepLines/>
      <w:spacing w:before="280"/>
      <w:outlineLvl w:val="2"/>
    </w:pPr>
    <w:rPr>
      <w:rFonts w:eastAsiaTheme="majorEastAsia" w:cstheme="majorBidi"/>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7D7E"/>
    <w:pPr>
      <w:contextualSpacing/>
      <w:jc w:val="center"/>
    </w:pPr>
    <w:rPr>
      <w:rFonts w:eastAsiaTheme="majorEastAsia" w:cstheme="majorBidi"/>
      <w:spacing w:val="-10"/>
      <w:kern w:val="28"/>
      <w:sz w:val="52"/>
      <w:szCs w:val="56"/>
    </w:rPr>
  </w:style>
  <w:style w:type="character" w:customStyle="1" w:styleId="TitleChar">
    <w:name w:val="Title Char"/>
    <w:basedOn w:val="DefaultParagraphFont"/>
    <w:link w:val="Title"/>
    <w:uiPriority w:val="10"/>
    <w:rsid w:val="00997D7E"/>
    <w:rPr>
      <w:rFonts w:ascii="Times New Roman" w:eastAsiaTheme="majorEastAsia" w:hAnsi="Times New Roman" w:cstheme="majorBidi"/>
      <w:spacing w:val="-10"/>
      <w:kern w:val="28"/>
      <w:sz w:val="52"/>
      <w:szCs w:val="56"/>
    </w:rPr>
  </w:style>
  <w:style w:type="character" w:customStyle="1" w:styleId="Heading1Char">
    <w:name w:val="Heading 1 Char"/>
    <w:basedOn w:val="DefaultParagraphFont"/>
    <w:link w:val="Heading1"/>
    <w:uiPriority w:val="9"/>
    <w:rsid w:val="00997D7E"/>
    <w:rPr>
      <w:rFonts w:ascii="Times New Roman" w:eastAsiaTheme="majorEastAsia" w:hAnsi="Times New Roman" w:cstheme="majorBidi"/>
      <w:color w:val="000000" w:themeColor="text1"/>
      <w:sz w:val="44"/>
      <w:szCs w:val="32"/>
    </w:rPr>
  </w:style>
  <w:style w:type="character" w:customStyle="1" w:styleId="Heading2Char">
    <w:name w:val="Heading 2 Char"/>
    <w:basedOn w:val="DefaultParagraphFont"/>
    <w:link w:val="Heading2"/>
    <w:uiPriority w:val="9"/>
    <w:rsid w:val="0005392A"/>
    <w:rPr>
      <w:rFonts w:ascii="Times New Roman" w:eastAsiaTheme="majorEastAsia" w:hAnsi="Times New Roman" w:cstheme="majorBidi"/>
      <w:color w:val="000000" w:themeColor="text1"/>
      <w:sz w:val="36"/>
      <w:szCs w:val="26"/>
    </w:rPr>
  </w:style>
  <w:style w:type="paragraph" w:styleId="Caption">
    <w:name w:val="caption"/>
    <w:basedOn w:val="Normal"/>
    <w:next w:val="Normal"/>
    <w:uiPriority w:val="35"/>
    <w:unhideWhenUsed/>
    <w:qFormat/>
    <w:rsid w:val="001F379E"/>
    <w:pPr>
      <w:spacing w:before="0" w:after="200"/>
    </w:pPr>
    <w:rPr>
      <w:i/>
      <w:iCs/>
      <w:color w:val="44546A" w:themeColor="text2"/>
      <w:sz w:val="18"/>
      <w:szCs w:val="18"/>
    </w:rPr>
  </w:style>
  <w:style w:type="character" w:customStyle="1" w:styleId="Heading3Char">
    <w:name w:val="Heading 3 Char"/>
    <w:basedOn w:val="DefaultParagraphFont"/>
    <w:link w:val="Heading3"/>
    <w:uiPriority w:val="9"/>
    <w:rsid w:val="0082250E"/>
    <w:rPr>
      <w:rFonts w:ascii="Times New Roman" w:eastAsiaTheme="majorEastAsia" w:hAnsi="Times New Roman" w:cstheme="majorBidi"/>
      <w:color w:val="000000" w:themeColor="text1"/>
      <w:sz w:val="28"/>
    </w:rPr>
  </w:style>
  <w:style w:type="paragraph" w:styleId="TOCHeading">
    <w:name w:val="TOC Heading"/>
    <w:basedOn w:val="Heading1"/>
    <w:next w:val="Normal"/>
    <w:uiPriority w:val="39"/>
    <w:unhideWhenUsed/>
    <w:qFormat/>
    <w:rsid w:val="00E14E79"/>
    <w:pPr>
      <w:spacing w:after="0" w:line="276" w:lineRule="auto"/>
      <w:outlineLvl w:val="9"/>
    </w:pPr>
    <w:rPr>
      <w:rFonts w:asciiTheme="majorHAnsi" w:hAnsiTheme="majorHAnsi"/>
      <w:b/>
      <w:bCs/>
      <w:color w:val="2F5496" w:themeColor="accent1" w:themeShade="BF"/>
      <w:sz w:val="28"/>
      <w:szCs w:val="28"/>
      <w:lang w:val="en-US" w:eastAsia="en-US"/>
    </w:rPr>
  </w:style>
  <w:style w:type="paragraph" w:styleId="TOC1">
    <w:name w:val="toc 1"/>
    <w:basedOn w:val="Normal"/>
    <w:next w:val="Normal"/>
    <w:autoRedefine/>
    <w:uiPriority w:val="39"/>
    <w:unhideWhenUsed/>
    <w:rsid w:val="00E14E79"/>
    <w:pPr>
      <w:spacing w:before="120" w:after="0"/>
    </w:pPr>
    <w:rPr>
      <w:rFonts w:asciiTheme="minorHAnsi" w:hAnsiTheme="minorHAnsi" w:cstheme="minorHAnsi"/>
      <w:b/>
      <w:bCs/>
      <w:i/>
      <w:iCs/>
    </w:rPr>
  </w:style>
  <w:style w:type="paragraph" w:styleId="TOC2">
    <w:name w:val="toc 2"/>
    <w:basedOn w:val="Normal"/>
    <w:next w:val="Normal"/>
    <w:autoRedefine/>
    <w:uiPriority w:val="39"/>
    <w:unhideWhenUsed/>
    <w:rsid w:val="00E14E79"/>
    <w:pPr>
      <w:spacing w:before="120" w:after="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E14E79"/>
    <w:pPr>
      <w:spacing w:before="0" w:after="0"/>
      <w:ind w:left="480"/>
    </w:pPr>
    <w:rPr>
      <w:rFonts w:asciiTheme="minorHAnsi" w:hAnsiTheme="minorHAnsi" w:cstheme="minorHAnsi"/>
      <w:sz w:val="20"/>
      <w:szCs w:val="20"/>
    </w:rPr>
  </w:style>
  <w:style w:type="character" w:styleId="Hyperlink">
    <w:name w:val="Hyperlink"/>
    <w:basedOn w:val="DefaultParagraphFont"/>
    <w:uiPriority w:val="99"/>
    <w:unhideWhenUsed/>
    <w:rsid w:val="00E14E79"/>
    <w:rPr>
      <w:color w:val="0563C1" w:themeColor="hyperlink"/>
      <w:u w:val="single"/>
    </w:rPr>
  </w:style>
  <w:style w:type="paragraph" w:styleId="TOC4">
    <w:name w:val="toc 4"/>
    <w:basedOn w:val="Normal"/>
    <w:next w:val="Normal"/>
    <w:autoRedefine/>
    <w:uiPriority w:val="39"/>
    <w:semiHidden/>
    <w:unhideWhenUsed/>
    <w:rsid w:val="00E14E79"/>
    <w:pPr>
      <w:spacing w:before="0"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E14E79"/>
    <w:pPr>
      <w:spacing w:before="0"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E14E79"/>
    <w:pPr>
      <w:spacing w:before="0"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E14E79"/>
    <w:pPr>
      <w:spacing w:before="0"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E14E79"/>
    <w:pPr>
      <w:spacing w:before="0"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E14E79"/>
    <w:pPr>
      <w:spacing w:before="0" w:after="0"/>
      <w:ind w:left="1920"/>
    </w:pPr>
    <w:rPr>
      <w:rFonts w:asciiTheme="minorHAnsi" w:hAnsiTheme="minorHAnsi" w:cstheme="minorHAnsi"/>
      <w:sz w:val="20"/>
      <w:szCs w:val="20"/>
    </w:rPr>
  </w:style>
  <w:style w:type="paragraph" w:styleId="ListParagraph">
    <w:name w:val="List Paragraph"/>
    <w:basedOn w:val="Normal"/>
    <w:uiPriority w:val="34"/>
    <w:qFormat/>
    <w:rsid w:val="00142C8A"/>
    <w:pPr>
      <w:ind w:left="720"/>
      <w:contextualSpacing/>
    </w:pPr>
  </w:style>
  <w:style w:type="paragraph" w:styleId="HTMLPreformatted">
    <w:name w:val="HTML Preformatted"/>
    <w:basedOn w:val="Normal"/>
    <w:link w:val="HTMLPreformattedChar"/>
    <w:uiPriority w:val="99"/>
    <w:unhideWhenUsed/>
    <w:rsid w:val="00B63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B634CF"/>
    <w:rPr>
      <w:rFonts w:ascii="Courier New" w:eastAsia="Times New Roman" w:hAnsi="Courier New" w:cs="Courier New"/>
      <w:sz w:val="20"/>
      <w:szCs w:val="20"/>
      <w:lang w:val="en-US" w:eastAsia="en-US"/>
    </w:rPr>
  </w:style>
  <w:style w:type="character" w:styleId="UnresolvedMention">
    <w:name w:val="Unresolved Mention"/>
    <w:basedOn w:val="DefaultParagraphFont"/>
    <w:uiPriority w:val="99"/>
    <w:semiHidden/>
    <w:unhideWhenUsed/>
    <w:rsid w:val="000340FB"/>
    <w:rPr>
      <w:color w:val="605E5C"/>
      <w:shd w:val="clear" w:color="auto" w:fill="E1DFDD"/>
    </w:rPr>
  </w:style>
  <w:style w:type="table" w:styleId="TableGrid">
    <w:name w:val="Table Grid"/>
    <w:basedOn w:val="TableNormal"/>
    <w:uiPriority w:val="39"/>
    <w:rsid w:val="008242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91118">
      <w:bodyDiv w:val="1"/>
      <w:marLeft w:val="0"/>
      <w:marRight w:val="0"/>
      <w:marTop w:val="0"/>
      <w:marBottom w:val="0"/>
      <w:divBdr>
        <w:top w:val="none" w:sz="0" w:space="0" w:color="auto"/>
        <w:left w:val="none" w:sz="0" w:space="0" w:color="auto"/>
        <w:bottom w:val="none" w:sz="0" w:space="0" w:color="auto"/>
        <w:right w:val="none" w:sz="0" w:space="0" w:color="auto"/>
      </w:divBdr>
    </w:div>
    <w:div w:id="199586917">
      <w:bodyDiv w:val="1"/>
      <w:marLeft w:val="0"/>
      <w:marRight w:val="0"/>
      <w:marTop w:val="0"/>
      <w:marBottom w:val="0"/>
      <w:divBdr>
        <w:top w:val="none" w:sz="0" w:space="0" w:color="auto"/>
        <w:left w:val="none" w:sz="0" w:space="0" w:color="auto"/>
        <w:bottom w:val="none" w:sz="0" w:space="0" w:color="auto"/>
        <w:right w:val="none" w:sz="0" w:space="0" w:color="auto"/>
      </w:divBdr>
    </w:div>
    <w:div w:id="217937833">
      <w:bodyDiv w:val="1"/>
      <w:marLeft w:val="0"/>
      <w:marRight w:val="0"/>
      <w:marTop w:val="0"/>
      <w:marBottom w:val="0"/>
      <w:divBdr>
        <w:top w:val="none" w:sz="0" w:space="0" w:color="auto"/>
        <w:left w:val="none" w:sz="0" w:space="0" w:color="auto"/>
        <w:bottom w:val="none" w:sz="0" w:space="0" w:color="auto"/>
        <w:right w:val="none" w:sz="0" w:space="0" w:color="auto"/>
      </w:divBdr>
    </w:div>
    <w:div w:id="315383243">
      <w:bodyDiv w:val="1"/>
      <w:marLeft w:val="0"/>
      <w:marRight w:val="0"/>
      <w:marTop w:val="0"/>
      <w:marBottom w:val="0"/>
      <w:divBdr>
        <w:top w:val="none" w:sz="0" w:space="0" w:color="auto"/>
        <w:left w:val="none" w:sz="0" w:space="0" w:color="auto"/>
        <w:bottom w:val="none" w:sz="0" w:space="0" w:color="auto"/>
        <w:right w:val="none" w:sz="0" w:space="0" w:color="auto"/>
      </w:divBdr>
    </w:div>
    <w:div w:id="430316315">
      <w:bodyDiv w:val="1"/>
      <w:marLeft w:val="0"/>
      <w:marRight w:val="0"/>
      <w:marTop w:val="0"/>
      <w:marBottom w:val="0"/>
      <w:divBdr>
        <w:top w:val="none" w:sz="0" w:space="0" w:color="auto"/>
        <w:left w:val="none" w:sz="0" w:space="0" w:color="auto"/>
        <w:bottom w:val="none" w:sz="0" w:space="0" w:color="auto"/>
        <w:right w:val="none" w:sz="0" w:space="0" w:color="auto"/>
      </w:divBdr>
    </w:div>
    <w:div w:id="431558865">
      <w:bodyDiv w:val="1"/>
      <w:marLeft w:val="0"/>
      <w:marRight w:val="0"/>
      <w:marTop w:val="0"/>
      <w:marBottom w:val="0"/>
      <w:divBdr>
        <w:top w:val="none" w:sz="0" w:space="0" w:color="auto"/>
        <w:left w:val="none" w:sz="0" w:space="0" w:color="auto"/>
        <w:bottom w:val="none" w:sz="0" w:space="0" w:color="auto"/>
        <w:right w:val="none" w:sz="0" w:space="0" w:color="auto"/>
      </w:divBdr>
    </w:div>
    <w:div w:id="450979678">
      <w:bodyDiv w:val="1"/>
      <w:marLeft w:val="0"/>
      <w:marRight w:val="0"/>
      <w:marTop w:val="0"/>
      <w:marBottom w:val="0"/>
      <w:divBdr>
        <w:top w:val="none" w:sz="0" w:space="0" w:color="auto"/>
        <w:left w:val="none" w:sz="0" w:space="0" w:color="auto"/>
        <w:bottom w:val="none" w:sz="0" w:space="0" w:color="auto"/>
        <w:right w:val="none" w:sz="0" w:space="0" w:color="auto"/>
      </w:divBdr>
    </w:div>
    <w:div w:id="480662436">
      <w:bodyDiv w:val="1"/>
      <w:marLeft w:val="0"/>
      <w:marRight w:val="0"/>
      <w:marTop w:val="0"/>
      <w:marBottom w:val="0"/>
      <w:divBdr>
        <w:top w:val="none" w:sz="0" w:space="0" w:color="auto"/>
        <w:left w:val="none" w:sz="0" w:space="0" w:color="auto"/>
        <w:bottom w:val="none" w:sz="0" w:space="0" w:color="auto"/>
        <w:right w:val="none" w:sz="0" w:space="0" w:color="auto"/>
      </w:divBdr>
      <w:divsChild>
        <w:div w:id="1031299587">
          <w:marLeft w:val="0"/>
          <w:marRight w:val="0"/>
          <w:marTop w:val="0"/>
          <w:marBottom w:val="0"/>
          <w:divBdr>
            <w:top w:val="none" w:sz="0" w:space="0" w:color="auto"/>
            <w:left w:val="none" w:sz="0" w:space="0" w:color="auto"/>
            <w:bottom w:val="none" w:sz="0" w:space="0" w:color="auto"/>
            <w:right w:val="none" w:sz="0" w:space="0" w:color="auto"/>
          </w:divBdr>
        </w:div>
        <w:div w:id="1022821001">
          <w:marLeft w:val="0"/>
          <w:marRight w:val="0"/>
          <w:marTop w:val="0"/>
          <w:marBottom w:val="0"/>
          <w:divBdr>
            <w:top w:val="none" w:sz="0" w:space="0" w:color="auto"/>
            <w:left w:val="none" w:sz="0" w:space="0" w:color="auto"/>
            <w:bottom w:val="none" w:sz="0" w:space="0" w:color="auto"/>
            <w:right w:val="none" w:sz="0" w:space="0" w:color="auto"/>
          </w:divBdr>
        </w:div>
        <w:div w:id="1002590021">
          <w:marLeft w:val="0"/>
          <w:marRight w:val="0"/>
          <w:marTop w:val="0"/>
          <w:marBottom w:val="0"/>
          <w:divBdr>
            <w:top w:val="none" w:sz="0" w:space="0" w:color="auto"/>
            <w:left w:val="none" w:sz="0" w:space="0" w:color="auto"/>
            <w:bottom w:val="none" w:sz="0" w:space="0" w:color="auto"/>
            <w:right w:val="none" w:sz="0" w:space="0" w:color="auto"/>
          </w:divBdr>
        </w:div>
      </w:divsChild>
    </w:div>
    <w:div w:id="483857014">
      <w:bodyDiv w:val="1"/>
      <w:marLeft w:val="0"/>
      <w:marRight w:val="0"/>
      <w:marTop w:val="0"/>
      <w:marBottom w:val="0"/>
      <w:divBdr>
        <w:top w:val="none" w:sz="0" w:space="0" w:color="auto"/>
        <w:left w:val="none" w:sz="0" w:space="0" w:color="auto"/>
        <w:bottom w:val="none" w:sz="0" w:space="0" w:color="auto"/>
        <w:right w:val="none" w:sz="0" w:space="0" w:color="auto"/>
      </w:divBdr>
    </w:div>
    <w:div w:id="717782618">
      <w:bodyDiv w:val="1"/>
      <w:marLeft w:val="0"/>
      <w:marRight w:val="0"/>
      <w:marTop w:val="0"/>
      <w:marBottom w:val="0"/>
      <w:divBdr>
        <w:top w:val="none" w:sz="0" w:space="0" w:color="auto"/>
        <w:left w:val="none" w:sz="0" w:space="0" w:color="auto"/>
        <w:bottom w:val="none" w:sz="0" w:space="0" w:color="auto"/>
        <w:right w:val="none" w:sz="0" w:space="0" w:color="auto"/>
      </w:divBdr>
      <w:divsChild>
        <w:div w:id="229076631">
          <w:marLeft w:val="0"/>
          <w:marRight w:val="0"/>
          <w:marTop w:val="0"/>
          <w:marBottom w:val="0"/>
          <w:divBdr>
            <w:top w:val="single" w:sz="6" w:space="4" w:color="ABABAB"/>
            <w:left w:val="single" w:sz="6" w:space="4" w:color="ABABAB"/>
            <w:bottom w:val="single" w:sz="6" w:space="4" w:color="ABABAB"/>
            <w:right w:val="single" w:sz="6" w:space="4" w:color="ABABAB"/>
          </w:divBdr>
          <w:divsChild>
            <w:div w:id="42412255">
              <w:marLeft w:val="0"/>
              <w:marRight w:val="0"/>
              <w:marTop w:val="0"/>
              <w:marBottom w:val="0"/>
              <w:divBdr>
                <w:top w:val="none" w:sz="0" w:space="0" w:color="auto"/>
                <w:left w:val="none" w:sz="0" w:space="0" w:color="auto"/>
                <w:bottom w:val="none" w:sz="0" w:space="0" w:color="auto"/>
                <w:right w:val="none" w:sz="0" w:space="0" w:color="auto"/>
              </w:divBdr>
              <w:divsChild>
                <w:div w:id="1753234136">
                  <w:marLeft w:val="0"/>
                  <w:marRight w:val="0"/>
                  <w:marTop w:val="0"/>
                  <w:marBottom w:val="0"/>
                  <w:divBdr>
                    <w:top w:val="none" w:sz="0" w:space="0" w:color="auto"/>
                    <w:left w:val="none" w:sz="0" w:space="0" w:color="auto"/>
                    <w:bottom w:val="none" w:sz="0" w:space="0" w:color="auto"/>
                    <w:right w:val="none" w:sz="0" w:space="0" w:color="auto"/>
                  </w:divBdr>
                  <w:divsChild>
                    <w:div w:id="197027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790014">
      <w:bodyDiv w:val="1"/>
      <w:marLeft w:val="0"/>
      <w:marRight w:val="0"/>
      <w:marTop w:val="0"/>
      <w:marBottom w:val="0"/>
      <w:divBdr>
        <w:top w:val="none" w:sz="0" w:space="0" w:color="auto"/>
        <w:left w:val="none" w:sz="0" w:space="0" w:color="auto"/>
        <w:bottom w:val="none" w:sz="0" w:space="0" w:color="auto"/>
        <w:right w:val="none" w:sz="0" w:space="0" w:color="auto"/>
      </w:divBdr>
    </w:div>
    <w:div w:id="819730017">
      <w:bodyDiv w:val="1"/>
      <w:marLeft w:val="0"/>
      <w:marRight w:val="0"/>
      <w:marTop w:val="0"/>
      <w:marBottom w:val="0"/>
      <w:divBdr>
        <w:top w:val="none" w:sz="0" w:space="0" w:color="auto"/>
        <w:left w:val="none" w:sz="0" w:space="0" w:color="auto"/>
        <w:bottom w:val="none" w:sz="0" w:space="0" w:color="auto"/>
        <w:right w:val="none" w:sz="0" w:space="0" w:color="auto"/>
      </w:divBdr>
    </w:div>
    <w:div w:id="922567591">
      <w:bodyDiv w:val="1"/>
      <w:marLeft w:val="0"/>
      <w:marRight w:val="0"/>
      <w:marTop w:val="0"/>
      <w:marBottom w:val="0"/>
      <w:divBdr>
        <w:top w:val="none" w:sz="0" w:space="0" w:color="auto"/>
        <w:left w:val="none" w:sz="0" w:space="0" w:color="auto"/>
        <w:bottom w:val="none" w:sz="0" w:space="0" w:color="auto"/>
        <w:right w:val="none" w:sz="0" w:space="0" w:color="auto"/>
      </w:divBdr>
    </w:div>
    <w:div w:id="1085498152">
      <w:bodyDiv w:val="1"/>
      <w:marLeft w:val="0"/>
      <w:marRight w:val="0"/>
      <w:marTop w:val="0"/>
      <w:marBottom w:val="0"/>
      <w:divBdr>
        <w:top w:val="none" w:sz="0" w:space="0" w:color="auto"/>
        <w:left w:val="none" w:sz="0" w:space="0" w:color="auto"/>
        <w:bottom w:val="none" w:sz="0" w:space="0" w:color="auto"/>
        <w:right w:val="none" w:sz="0" w:space="0" w:color="auto"/>
      </w:divBdr>
    </w:div>
    <w:div w:id="1275291042">
      <w:bodyDiv w:val="1"/>
      <w:marLeft w:val="0"/>
      <w:marRight w:val="0"/>
      <w:marTop w:val="0"/>
      <w:marBottom w:val="0"/>
      <w:divBdr>
        <w:top w:val="none" w:sz="0" w:space="0" w:color="auto"/>
        <w:left w:val="none" w:sz="0" w:space="0" w:color="auto"/>
        <w:bottom w:val="none" w:sz="0" w:space="0" w:color="auto"/>
        <w:right w:val="none" w:sz="0" w:space="0" w:color="auto"/>
      </w:divBdr>
    </w:div>
    <w:div w:id="1341348818">
      <w:bodyDiv w:val="1"/>
      <w:marLeft w:val="0"/>
      <w:marRight w:val="0"/>
      <w:marTop w:val="0"/>
      <w:marBottom w:val="0"/>
      <w:divBdr>
        <w:top w:val="none" w:sz="0" w:space="0" w:color="auto"/>
        <w:left w:val="none" w:sz="0" w:space="0" w:color="auto"/>
        <w:bottom w:val="none" w:sz="0" w:space="0" w:color="auto"/>
        <w:right w:val="none" w:sz="0" w:space="0" w:color="auto"/>
      </w:divBdr>
    </w:div>
    <w:div w:id="1407920290">
      <w:bodyDiv w:val="1"/>
      <w:marLeft w:val="0"/>
      <w:marRight w:val="0"/>
      <w:marTop w:val="0"/>
      <w:marBottom w:val="0"/>
      <w:divBdr>
        <w:top w:val="none" w:sz="0" w:space="0" w:color="auto"/>
        <w:left w:val="none" w:sz="0" w:space="0" w:color="auto"/>
        <w:bottom w:val="none" w:sz="0" w:space="0" w:color="auto"/>
        <w:right w:val="none" w:sz="0" w:space="0" w:color="auto"/>
      </w:divBdr>
    </w:div>
    <w:div w:id="1536307642">
      <w:bodyDiv w:val="1"/>
      <w:marLeft w:val="0"/>
      <w:marRight w:val="0"/>
      <w:marTop w:val="0"/>
      <w:marBottom w:val="0"/>
      <w:divBdr>
        <w:top w:val="none" w:sz="0" w:space="0" w:color="auto"/>
        <w:left w:val="none" w:sz="0" w:space="0" w:color="auto"/>
        <w:bottom w:val="none" w:sz="0" w:space="0" w:color="auto"/>
        <w:right w:val="none" w:sz="0" w:space="0" w:color="auto"/>
      </w:divBdr>
    </w:div>
    <w:div w:id="1590381623">
      <w:bodyDiv w:val="1"/>
      <w:marLeft w:val="0"/>
      <w:marRight w:val="0"/>
      <w:marTop w:val="0"/>
      <w:marBottom w:val="0"/>
      <w:divBdr>
        <w:top w:val="none" w:sz="0" w:space="0" w:color="auto"/>
        <w:left w:val="none" w:sz="0" w:space="0" w:color="auto"/>
        <w:bottom w:val="none" w:sz="0" w:space="0" w:color="auto"/>
        <w:right w:val="none" w:sz="0" w:space="0" w:color="auto"/>
      </w:divBdr>
    </w:div>
    <w:div w:id="1750812225">
      <w:bodyDiv w:val="1"/>
      <w:marLeft w:val="0"/>
      <w:marRight w:val="0"/>
      <w:marTop w:val="0"/>
      <w:marBottom w:val="0"/>
      <w:divBdr>
        <w:top w:val="none" w:sz="0" w:space="0" w:color="auto"/>
        <w:left w:val="none" w:sz="0" w:space="0" w:color="auto"/>
        <w:bottom w:val="none" w:sz="0" w:space="0" w:color="auto"/>
        <w:right w:val="none" w:sz="0" w:space="0" w:color="auto"/>
      </w:divBdr>
    </w:div>
    <w:div w:id="1810777759">
      <w:bodyDiv w:val="1"/>
      <w:marLeft w:val="0"/>
      <w:marRight w:val="0"/>
      <w:marTop w:val="0"/>
      <w:marBottom w:val="0"/>
      <w:divBdr>
        <w:top w:val="none" w:sz="0" w:space="0" w:color="auto"/>
        <w:left w:val="none" w:sz="0" w:space="0" w:color="auto"/>
        <w:bottom w:val="none" w:sz="0" w:space="0" w:color="auto"/>
        <w:right w:val="none" w:sz="0" w:space="0" w:color="auto"/>
      </w:divBdr>
    </w:div>
    <w:div w:id="1903327219">
      <w:bodyDiv w:val="1"/>
      <w:marLeft w:val="0"/>
      <w:marRight w:val="0"/>
      <w:marTop w:val="0"/>
      <w:marBottom w:val="0"/>
      <w:divBdr>
        <w:top w:val="none" w:sz="0" w:space="0" w:color="auto"/>
        <w:left w:val="none" w:sz="0" w:space="0" w:color="auto"/>
        <w:bottom w:val="none" w:sz="0" w:space="0" w:color="auto"/>
        <w:right w:val="none" w:sz="0" w:space="0" w:color="auto"/>
      </w:divBdr>
      <w:divsChild>
        <w:div w:id="814372300">
          <w:marLeft w:val="0"/>
          <w:marRight w:val="0"/>
          <w:marTop w:val="0"/>
          <w:marBottom w:val="0"/>
          <w:divBdr>
            <w:top w:val="none" w:sz="0" w:space="0" w:color="auto"/>
            <w:left w:val="none" w:sz="0" w:space="0" w:color="auto"/>
            <w:bottom w:val="none" w:sz="0" w:space="0" w:color="auto"/>
            <w:right w:val="none" w:sz="0" w:space="0" w:color="auto"/>
          </w:divBdr>
        </w:div>
        <w:div w:id="443303593">
          <w:marLeft w:val="0"/>
          <w:marRight w:val="0"/>
          <w:marTop w:val="0"/>
          <w:marBottom w:val="0"/>
          <w:divBdr>
            <w:top w:val="none" w:sz="0" w:space="0" w:color="auto"/>
            <w:left w:val="none" w:sz="0" w:space="0" w:color="auto"/>
            <w:bottom w:val="none" w:sz="0" w:space="0" w:color="auto"/>
            <w:right w:val="none" w:sz="0" w:space="0" w:color="auto"/>
          </w:divBdr>
        </w:div>
        <w:div w:id="1870605158">
          <w:marLeft w:val="0"/>
          <w:marRight w:val="0"/>
          <w:marTop w:val="0"/>
          <w:marBottom w:val="0"/>
          <w:divBdr>
            <w:top w:val="none" w:sz="0" w:space="0" w:color="auto"/>
            <w:left w:val="none" w:sz="0" w:space="0" w:color="auto"/>
            <w:bottom w:val="none" w:sz="0" w:space="0" w:color="auto"/>
            <w:right w:val="none" w:sz="0" w:space="0" w:color="auto"/>
          </w:divBdr>
        </w:div>
      </w:divsChild>
    </w:div>
    <w:div w:id="1977562278">
      <w:bodyDiv w:val="1"/>
      <w:marLeft w:val="0"/>
      <w:marRight w:val="0"/>
      <w:marTop w:val="0"/>
      <w:marBottom w:val="0"/>
      <w:divBdr>
        <w:top w:val="none" w:sz="0" w:space="0" w:color="auto"/>
        <w:left w:val="none" w:sz="0" w:space="0" w:color="auto"/>
        <w:bottom w:val="none" w:sz="0" w:space="0" w:color="auto"/>
        <w:right w:val="none" w:sz="0" w:space="0" w:color="auto"/>
      </w:divBdr>
    </w:div>
    <w:div w:id="2094162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phys.org/news/2022-02-home-delivery-usage-covid-pandemic.html" TargetMode="External"/><Relationship Id="rId21" Type="http://schemas.openxmlformats.org/officeDocument/2006/relationships/image" Target="media/image16.png"/><Relationship Id="rId34" Type="http://schemas.openxmlformats.org/officeDocument/2006/relationships/hyperlink" Target="https://trends.edison.tech/research/uk-food-delivery.html" TargetMode="External"/><Relationship Id="rId42" Type="http://schemas.openxmlformats.org/officeDocument/2006/relationships/hyperlink" Target="https://www.annreports.com/just-eat-takeawaycom/just-eat-takeawaycom-ar-2021.pdf" TargetMode="External"/><Relationship Id="rId47" Type="http://schemas.openxmlformats.org/officeDocument/2006/relationships/hyperlink" Target="https://www.investopedia.com/ask/answers/121114/what-difference-between-golden-cross-and-death-cross-pattern.asp" TargetMode="External"/><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doi.org/10.23919/DATE.2019.8715138" TargetMode="External"/><Relationship Id="rId40" Type="http://schemas.openxmlformats.org/officeDocument/2006/relationships/hyperlink" Target="https://www.investopedia.com/terms/e/empirical-rule.asp" TargetMode="External"/><Relationship Id="rId45" Type="http://schemas.openxmlformats.org/officeDocument/2006/relationships/hyperlink" Target="https://doi.org/10.1080/00220670209598786"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doi.org/10.1057/jors.1995.142" TargetMode="External"/><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edition.cnn.com/2020/12/06/tech/food-delivery-pandemic-doordash/index.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investopedia.com/terms/e/equity.asp" TargetMode="External"/><Relationship Id="rId43" Type="http://schemas.openxmlformats.org/officeDocument/2006/relationships/hyperlink" Target="https://doi.org/10.1111/j.1537-2995.2008.01925.x" TargetMode="External"/><Relationship Id="rId48"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oi.org/10.1177/0253717620933419" TargetMode="External"/><Relationship Id="rId38" Type="http://schemas.openxmlformats.org/officeDocument/2006/relationships/hyperlink" Target="https://statisticsbyjim.com/probability/empirical-rule/" TargetMode="External"/><Relationship Id="rId46" Type="http://schemas.openxmlformats.org/officeDocument/2006/relationships/hyperlink" Target="https://doi.org/10.5937/JPMNT1602026P" TargetMode="External"/><Relationship Id="rId20" Type="http://schemas.openxmlformats.org/officeDocument/2006/relationships/image" Target="media/image15.png"/><Relationship Id="rId41" Type="http://schemas.openxmlformats.org/officeDocument/2006/relationships/hyperlink" Target="https://www.annreports.com/just-eat-takeawaycom/just-eat-takeawaycom-ar-2020.pdf"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DFAF68-5A4B-FB40-90A8-D1629656C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25</Pages>
  <Words>4135</Words>
  <Characters>23572</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Luo</dc:creator>
  <cp:keywords/>
  <dc:description/>
  <cp:lastModifiedBy>Khánh Bạch Quốc</cp:lastModifiedBy>
  <cp:revision>16</cp:revision>
  <dcterms:created xsi:type="dcterms:W3CDTF">2023-05-05T00:49:00Z</dcterms:created>
  <dcterms:modified xsi:type="dcterms:W3CDTF">2023-05-05T01:52:00Z</dcterms:modified>
</cp:coreProperties>
</file>