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sz w:val="4"/>
          <w:szCs w:val="4"/>
        </w:rPr>
        <w:t xml:space="preserve"/>
      </w:r>
    </w:p>
    <w:p>
      <w:pPr>
        <w:spacing w:after="140"/>
        <w:jc w:val="center"/>
      </w:pPr>
      <w:r>
        <w:rPr>
          <w:rFonts w:ascii="Times New Roman" w:cs="Times New Roman" w:eastAsia="Times New Roman" w:hAnsi="Times New Roman"/>
          <w:b/>
          <w:bCs/>
          <w:sz w:val="36"/>
          <w:szCs w:val="36"/>
        </w:rPr>
        <w:t xml:space="preserve">ĐẶC TẢ USE CASE HỆ THỐNG</w:t>
      </w:r>
    </w:p>
    <w:p>
      <w:pPr>
        <w:spacing w:after="200"/>
        <w:jc w:val="center"/>
      </w:pPr>
      <w:r>
        <w:rPr>
          <w:rFonts w:ascii="Times New Roman" w:cs="Times New Roman" w:eastAsia="Times New Roman" w:hAnsi="Times New Roman"/>
          <w:sz w:val="27"/>
          <w:szCs w:val="27"/>
        </w:rPr>
        <w:t xml:space="preserve">Chatbot AI Chăm sóc Khách hàng tích hợp CRM cho Doanh nghiệp Vừa và Nhỏ</w:t>
      </w:r>
    </w:p>
    <w:p>
      <w:pPr>
        <w:spacing w:after="80"/>
        <w:jc w:val="center"/>
      </w:pPr>
      <w:r>
        <w:rPr>
          <w:rFonts w:ascii="Times New Roman" w:cs="Times New Roman" w:eastAsia="Times New Roman" w:hAnsi="Times New Roman"/>
          <w:b/>
          <w:bCs/>
          <w:sz w:val="26"/>
          <w:szCs w:val="26"/>
        </w:rPr>
        <w:t xml:space="preserve">ĐỢT 6 / 6 — Use Case UC036 đến UC042 và Tổng kết</w:t>
      </w:r>
    </w:p>
    <w:p>
      <w:pPr>
        <w:spacing w:after="400"/>
        <w:jc w:val="center"/>
      </w:pPr>
      <w:r>
        <w:rPr>
          <w:rFonts w:ascii="Times New Roman" w:cs="Times New Roman" w:eastAsia="Times New Roman" w:hAnsi="Times New Roman"/>
          <w:i/>
          <w:iCs/>
          <w:sz w:val="25"/>
          <w:szCs w:val="25"/>
        </w:rPr>
        <w:t xml:space="preserve">Nhóm chức năng: Thống kê, Kiểm toán và Tuân thủ</w:t>
      </w:r>
    </w:p>
    <w:p>
      <w:r>
        <w:br w:type="page"/>
      </w:r>
    </w:p>
    <w:p>
      <w:pPr>
        <w:pStyle w:val="Heading1"/>
        <w:spacing w:after="180" w:before="320"/>
      </w:pPr>
      <w:r>
        <w:rPr>
          <w:rFonts w:ascii="Times New Roman" w:cs="Times New Roman" w:eastAsia="Times New Roman" w:hAnsi="Times New Roman"/>
          <w:b/>
          <w:bCs/>
          <w:color w:val="000000"/>
          <w:sz w:val="30"/>
          <w:szCs w:val="30"/>
        </w:rPr>
        <w:t xml:space="preserve">1. PHẠM VI ĐỢT 6</w:t>
      </w:r>
    </w:p>
    <w:p>
      <w:pPr>
        <w:spacing w:after="120" w:before="60" w:line="300"/>
        <w:jc w:val="both"/>
      </w:pPr>
      <w:r>
        <w:rPr>
          <w:rFonts w:ascii="Times New Roman" w:cs="Times New Roman" w:eastAsia="Times New Roman" w:hAnsi="Times New Roman"/>
          <w:b w:val="false"/>
          <w:bCs w:val="false"/>
          <w:i w:val="false"/>
          <w:iCs w:val="false"/>
          <w:color w:val="000000"/>
          <w:sz w:val="26"/>
          <w:szCs w:val="26"/>
        </w:rPr>
        <w:t xml:space="preserve">Đây là đợt cuối cùng, gồm 7 use case thuộc nhóm khai thác dữ liệu và tuân thủ. Bốn use case đầu biến dữ liệu vận hành thành thông tin ra quyết định cho doanh nghiệp. Ba use case sau bảo đảm hệ thống có thể truy vết mọi thao tác và đáp ứng nghĩa vụ pháp lý về bảo vệ dữ liệu cá nhân.</w:t>
      </w:r>
    </w:p>
    <w:p>
      <w:pPr>
        <w:spacing w:after="120" w:before="60" w:line="300"/>
        <w:jc w:val="both"/>
      </w:pPr>
      <w:r>
        <w:rPr>
          <w:rFonts w:ascii="Times New Roman" w:cs="Times New Roman" w:eastAsia="Times New Roman" w:hAnsi="Times New Roman"/>
          <w:b w:val="false"/>
          <w:bCs w:val="false"/>
          <w:i w:val="false"/>
          <w:iCs w:val="false"/>
          <w:color w:val="000000"/>
          <w:sz w:val="26"/>
          <w:szCs w:val="26"/>
        </w:rPr>
        <w:t xml:space="preserve">Phần cuối tài liệu tổng kết toàn bộ 42 use case của hệ thống, kèm bảng truy vết đối chiếu với các yêu cầu của đề tài và gợi ý cách phân nhóm khi vẽ sơ đồ use 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900"/>
        <w:gridCol w:w="4726"/>
        <w:gridCol w:w="1700"/>
        <w:gridCol w:w="1700"/>
      </w:tblGrid>
      <w:tr>
        <w:trPr>
          <w:tblHeader/>
        </w:trPr>
        <w:tc>
          <w:tcPr>
            <w:tcW w:type="dxa" w:w="9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Mã</w:t>
            </w:r>
          </w:p>
        </w:tc>
        <w:tc>
          <w:tcPr>
            <w:tcW w:type="dxa" w:w="4726"/>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17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17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r>
      <w:tr>
        <w:trPr>
          <w:cantSplit/>
        </w:trPr>
        <w:tc>
          <w:tcPr>
            <w:tcW w:type="dxa" w:w="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UC036</w:t>
            </w:r>
          </w:p>
        </w:tc>
        <w:tc>
          <w:tcPr>
            <w:tcW w:type="dxa" w:w="4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Xem bảng điều khiển tổng quan</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A03</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r>
      <w:tr>
        <w:trPr>
          <w:cantSplit/>
        </w:trPr>
        <w:tc>
          <w:tcPr>
            <w:tcW w:type="dxa" w:w="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UC037</w:t>
            </w:r>
          </w:p>
        </w:tc>
        <w:tc>
          <w:tcPr>
            <w:tcW w:type="dxa" w:w="4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Xem phễu chuyển đổi</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A03</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r>
      <w:tr>
        <w:trPr>
          <w:cantSplit/>
        </w:trPr>
        <w:tc>
          <w:tcPr>
            <w:tcW w:type="dxa" w:w="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UC038</w:t>
            </w:r>
          </w:p>
        </w:tc>
        <w:tc>
          <w:tcPr>
            <w:tcW w:type="dxa" w:w="4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Xem thống kê chủ đề hội thoại</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A03</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r>
      <w:tr>
        <w:trPr>
          <w:cantSplit/>
        </w:trPr>
        <w:tc>
          <w:tcPr>
            <w:tcW w:type="dxa" w:w="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UC039</w:t>
            </w:r>
          </w:p>
        </w:tc>
        <w:tc>
          <w:tcPr>
            <w:tcW w:type="dxa" w:w="4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Xem báo cáo hiệu quả và chi phí của tác tử AI</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A03</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r>
      <w:tr>
        <w:trPr>
          <w:cantSplit/>
        </w:trPr>
        <w:tc>
          <w:tcPr>
            <w:tcW w:type="dxa" w:w="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UC040</w:t>
            </w:r>
          </w:p>
        </w:tc>
        <w:tc>
          <w:tcPr>
            <w:tcW w:type="dxa" w:w="4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Xem nhật ký kiểm toán</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A03, A04</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r>
      <w:tr>
        <w:trPr>
          <w:cantSplit/>
        </w:trPr>
        <w:tc>
          <w:tcPr>
            <w:tcW w:type="dxa" w:w="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UC041</w:t>
            </w:r>
          </w:p>
        </w:tc>
        <w:tc>
          <w:tcPr>
            <w:tcW w:type="dxa" w:w="4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Xử lý yêu cầu xóa dữ liệu cá nhân</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A03</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r>
      <w:tr>
        <w:trPr>
          <w:cantSplit/>
        </w:trPr>
        <w:tc>
          <w:tcPr>
            <w:tcW w:type="dxa" w:w="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UC042</w:t>
            </w:r>
          </w:p>
        </w:tc>
        <w:tc>
          <w:tcPr>
            <w:tcW w:type="dxa" w:w="4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Xuất báo cáo ra tệp</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A03</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r>
    </w:tbl>
    <w:p>
      <w:r>
        <w:br w:type="page"/>
      </w:r>
    </w:p>
    <w:p>
      <w:pPr>
        <w:pStyle w:val="Heading1"/>
        <w:spacing w:after="180" w:before="320"/>
      </w:pPr>
      <w:r>
        <w:rPr>
          <w:rFonts w:ascii="Times New Roman" w:cs="Times New Roman" w:eastAsia="Times New Roman" w:hAnsi="Times New Roman"/>
          <w:b/>
          <w:bCs/>
          <w:color w:val="000000"/>
          <w:sz w:val="30"/>
          <w:szCs w:val="30"/>
        </w:rPr>
        <w:t xml:space="preserve">2. ĐẶC TẢ CHI TIẾT USE CASE — ĐỢT 6</w:t>
      </w:r>
    </w:p>
    <w:p>
      <w:pPr>
        <w:keepNext/>
        <w:spacing w:after="60" w:before="340"/>
      </w:pPr>
      <w:r>
        <w:rPr>
          <w:rFonts w:ascii="Times New Roman" w:cs="Times New Roman" w:eastAsia="Times New Roman" w:hAnsi="Times New Roman"/>
          <w:b/>
          <w:bCs/>
          <w:sz w:val="27"/>
          <w:szCs w:val="27"/>
        </w:rPr>
        <w:t xml:space="preserve">36) UC036_ Xem bảng điều khiển tổng quan</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Xem bảng điều khiển tổng quan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theo dõi các chỉ số vận hành quan trọng của doanh nghiệp trên một màn hình duy nhất, làm điểm khởi đầu để đi sâu vào các báo cáo chuyên biệt.</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doanh nghiệp (A03).</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đã đăng nhập và doanh nghiệp đã phát sinh dữ liệu hoạt động.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 thay đổi dữ liệu nghiệp vụ. Các chỉ số được đọc từ mô hình đọc đã tổng hợp sẵn, không truy vấn trực tiếp vào bảng giao dịch.</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Quản trị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Mở bảng điều khiển tổng quan.</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Truy vấn mô hình đọc đã được các tiến trình tiêu thụ sự kiện tổng hợp sẵn.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Hiển thị các chỉ số chính gồm tổng số hội thoại, tỉ lệ hội thoại được tác tử AI xử lý trọn vẹn, số cơ hội tiềm năng mới, số cơ hội bán hàng và thời gian phản hồi đầu tiên trung bình.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Hiển thị biểu đồ xu hướng theo ngày trong khoảng thời gian đang chọn.</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Thay đổi khoảng thời gian hoặc lọc theo kênh, theo nhân viên phụ trách.</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Truy vấn lại và cập nhật đồng bộ toàn bộ các thành phần trên màn hình.</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Chọn một chỉ số để xem chi tiết.</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 Chuyển tới báo cáo chuyên sâu tương ứng với chỉ số đã chọn.</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Quản trị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2.1. Nếu mô hình đọc chưa được đồng bộ kịp do độ trễ của hàng đợi sự kiện.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2.2. Hiển thị thời điểm cập nhật gần nhất kèm chú thích, không hiển thị số liệu chưa đầy đủ mà không có cảnh báo.</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3.1. Nếu chưa có đủ dữ liệu trong khoảng thời gian đang chọn.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3.2. Hiển thị trạng thái chưa đủ dữ liệu thay vì biểu đồ trống gây hiểu nhầm.</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5.1. Nếu khoảng thời gian được chọn vượt giới hạn cho phép truy vấn trực tiếp.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5.2. Giới hạn khoảng thời gian, thông báo lý do và gợi ý sử dụng chức năng xuất báo cáo ở UC042.</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1a. Nhân viên chăm sóc khách hàng mở bảng điều khiển.</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2a. Chỉ hiển thị các chỉ số trong phạm vi hội thoại và cơ hội mà nhân viên đó được phân công.</w:t>
            </w:r>
          </w:p>
        </w:tc>
      </w:tr>
    </w:tbl>
    <w:p>
      <w:pPr>
        <w:spacing w:after="0" w:before="100"/>
      </w:pPr>
      <w:r>
        <w:rPr>
          <w:sz w:val="4"/>
          <w:szCs w:val="4"/>
        </w:rPr>
        <w:t xml:space="preserve"/>
      </w:r>
    </w:p>
    <w:p>
      <w:pPr>
        <w:keepNext/>
        <w:spacing w:after="60" w:before="340"/>
      </w:pPr>
      <w:r>
        <w:rPr>
          <w:rFonts w:ascii="Times New Roman" w:cs="Times New Roman" w:eastAsia="Times New Roman" w:hAnsi="Times New Roman"/>
          <w:b/>
          <w:bCs/>
          <w:sz w:val="27"/>
          <w:szCs w:val="27"/>
        </w:rPr>
        <w:t xml:space="preserve">37) UC037_ Xem phễu chuyển đổi</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Xem phễu chuyển đổi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theo dõi quá trình chuyển hóa từ hội thoại thành doanh thu qua từng bậc của phễu, và so sánh hiệu quả giữa cơ hội do tác tử AI tạo tự động với cơ hội do nhân viên tạo thủ công.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doanh nghiệp (A03).</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đã đăng nhập và doanh nghiệp đã phát sinh hội thoại cùng cơ hội kinh doanh.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 thay đổi dữ liệu nghiệp vụ.</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Quản trị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Mở báo cáo phễu chuyển đổi.</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Hiển thị các bậc theo trình tự: tổng hội thoại, hội thoại có tín hiệu quan tâm, cơ hội tiềm năng, cơ hội bán hàng, cơ hội thắng.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Hiển thị số lượng ở mỗi bậc và tỉ lệ chuyển đổi giữa các bậc liền kề.</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Hiển thị giá trị doanh thu tương ứng ở các bậc có gắn giá trị.</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Lọc theo kênh, nguồn cơ hội, nhân viên hoặc khoảng thời gian.</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Truy vấn lại và cập nhật toàn bộ biểu đồ phễu.</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Chọn chế độ so sánh giữa cơ hội tạo tự động và cơ hội tạo thủ công.</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 Hiển thị hai phễu song song để đối chiếu tỉ lệ chuyển đổi của từng nguồn.</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Quản trị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3.1. Nếu một bậc có số lượng bằng không.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3.2. Vẫn hiển thị bậc đó với giá trị không thay vì ẩn đi, để người xem nhận ra chính xác điểm nghẽn của quy trình.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6.1. Nếu trong khoảng thời gian có cơ hội được tạo trước khi bật chức năng chấm điểm tự động.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6.2. Đánh dấu phần dữ liệu đó là không đầy đủ để tránh so sánh sai lệch.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8.1. Nếu số mẫu của một trong hai nhóm quá nhỏ.</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8.2. Hiển thị cảnh báo rằng tỉ lệ chưa đủ tin cậy để rút ra kết luận.</w:t>
            </w:r>
          </w:p>
        </w:tc>
      </w:tr>
    </w:tbl>
    <w:p>
      <w:pPr>
        <w:spacing w:after="0" w:before="100"/>
      </w:pPr>
      <w:r>
        <w:rPr>
          <w:sz w:val="4"/>
          <w:szCs w:val="4"/>
        </w:rPr>
        <w:t xml:space="preserve"/>
      </w:r>
    </w:p>
    <w:p>
      <w:pPr>
        <w:keepNext/>
        <w:spacing w:after="60" w:before="340"/>
      </w:pPr>
      <w:r>
        <w:rPr>
          <w:rFonts w:ascii="Times New Roman" w:cs="Times New Roman" w:eastAsia="Times New Roman" w:hAnsi="Times New Roman"/>
          <w:b/>
          <w:bCs/>
          <w:sz w:val="27"/>
          <w:szCs w:val="27"/>
        </w:rPr>
        <w:t xml:space="preserve">38) UC038_ Xem thống kê chủ đề hội thoại</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Xem thống kê chủ đề hội thoại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Hệ thống phân nhóm các hội thoại theo chủ đề và trình bày phân bố cùng xu hướng, giúp doanh nghiệp biết khách hàng đang quan tâm điều gì nhiều nhất và kho tri thức còn thiếu ở đâu.</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doanh nghiệp (A03).</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Doanh nghiệp đã có số lượng hội thoại đạt ngưỡng tối thiểu để thực hiện phân nhóm.</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 thay đổi dữ liệu nghiệp vụ, ngoại trừ trường hợp quản trị viên đổi tên nhãn chủ đề thì tên mới được lưu và giữ qua các lần phân nhóm sau.</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Quản trị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Mở báo cáo thống kê chủ đề hội thoại.</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Hiển thị danh sách chủ đề kèm nhãn, số hội thoại thuộc chủ đề và tỉ lệ phần trăm trên tổng số.</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Hiển thị biểu đồ xu hướng của từng chủ đề theo thời gian.</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Chọn một chủ đề để xem chi tiết.</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Hiển thị các hội thoại đại diện tiêu biểu thuộc chủ đề đó.</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Hiển thị tỉ lệ hội thoại được tác tử AI xử lý trọn vẹn theo từng chủ đề.</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Sử dụng thông tin để quyết định bổ sung tài liệu tri thức cho các chủ đề còn yếu.</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Quản trị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1.1. Nếu chưa đạt số hội thoại tối thiểu để phân nhóm có ý nghĩa.</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1.2. Thông báo chưa đủ dữ liệu và nêu rõ số lượng hội thoại còn thiếu.</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2.1. Đổi tên một nhãn chủ đề do hệ thống tự sinh cho phù hợp với nghiệp vụ.</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2.2. Lưu tên mới và ánh xạ giữ nguyên qua các lần phân nhóm tiếp theo.</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6.1. Nếu một chủ đề có tỉ lệ xử lý trọn vẹn thấp bất thường so với các chủ đề khác.</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6.2. Đánh dấu nổi bật và gợi ý bổ sung tài liệu tri thức cho chủ đề đó, kèm liên kết tới chức năng tải tài liệu.</w:t>
            </w:r>
          </w:p>
        </w:tc>
      </w:tr>
    </w:tbl>
    <w:p>
      <w:pPr>
        <w:spacing w:after="0" w:before="100"/>
      </w:pPr>
      <w:r>
        <w:rPr>
          <w:sz w:val="4"/>
          <w:szCs w:val="4"/>
        </w:rPr>
        <w:t xml:space="preserve"/>
      </w:r>
    </w:p>
    <w:p>
      <w:pPr>
        <w:keepNext/>
        <w:spacing w:after="60" w:before="340"/>
      </w:pPr>
      <w:r>
        <w:rPr>
          <w:rFonts w:ascii="Times New Roman" w:cs="Times New Roman" w:eastAsia="Times New Roman" w:hAnsi="Times New Roman"/>
          <w:b/>
          <w:bCs/>
          <w:sz w:val="27"/>
          <w:szCs w:val="27"/>
        </w:rPr>
        <w:t xml:space="preserve">39) UC039_ Xem báo cáo hiệu quả và chi phí của tác tử AI</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Xem báo cáo hiệu quả và chi phí của tác tử AI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đánh giá chất lượng và chi phí vận hành của tác tử AI thông qua các chỉ số định lượng, làm cơ sở quyết định điều chỉnh cấu hình hoặc bổ sung tri thức.</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doanh nghiệp (A03).</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đã đăng nhập và đã có ít nhất một lượt xử lý của tác tử AI được ghi nhận.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 thay đổi dữ liệu nghiệp vụ.</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Quản trị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Mở báo cáo hiệu quả tác tử AI.</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Hiển thị tỉ lệ hội thoại được xử lý trọn vẹn, tỉ lệ từ chối trả lời, tỉ lệ chuyển giao nhân viên kèm phân tích theo lý do chuyển giao.</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Hiển thị tỉ lệ phản hồi tích cực, tách riêng phản hồi của nhân viên và của khách hàng.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Hiển thị phân bố lượt xử lý theo từng nhánh: truy hồi tri thức, gọi công cụ, hỏi lại làm rõ và chuyển giao.</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Hiển thị số token tiêu thụ và chi phí quy đổi theo ngày, kèm chi phí trung bình cho mỗi hội thoại.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Hiển thị độ trễ trung bình và các mốc phân vị theo từng chặng xử lý.</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Lọc theo khoảng thời gian, kênh hoặc phiên bản mô hình đã sử dụng.</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 Cập nhật toàn bộ báo cáo theo điều kiện lọc.</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 Xem danh sách khoảng trống tri thức được tích lũy từ các lượt từ chối trả lời.</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10. Hiển thị danh sách sắp xếp theo tần suất, kèm liên kết bổ sung tài liệu tương ứng.</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Quản trị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5.1. Nếu chi phí trong một ngày tăng bất thường so với mức trung bình.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5.2. Đánh dấu cảnh báo và chỉ rõ ngày phát sinh cùng nhánh xử lý chiếm tỉ trọng chi phí lớn nhất.</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6.1. Nếu độ trễ ở một chặng vượt ngưỡng cấu hình.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6.2. Chỉ rõ chặng gây chậm nhằm phục vụ việc tối ưu, ví dụ chặng xếp hạng lại hoặc chặng gọi công cụ bên ngoài.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2.1. Nếu doanh nghiệp thay đổi mô hình ngôn ngữ giữa kỳ báo cáo.</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2.2. Tách số liệu theo từng phiên bản mô hình để bảo đảm việc so sánh là công bằng.</w:t>
            </w:r>
          </w:p>
        </w:tc>
      </w:tr>
    </w:tbl>
    <w:p>
      <w:pPr>
        <w:spacing w:after="0" w:before="100"/>
      </w:pPr>
      <w:r>
        <w:rPr>
          <w:sz w:val="4"/>
          <w:szCs w:val="4"/>
        </w:rPr>
        <w:t xml:space="preserve"/>
      </w:r>
    </w:p>
    <w:p>
      <w:pPr>
        <w:keepNext/>
        <w:spacing w:after="60" w:before="340"/>
      </w:pPr>
      <w:r>
        <w:rPr>
          <w:rFonts w:ascii="Times New Roman" w:cs="Times New Roman" w:eastAsia="Times New Roman" w:hAnsi="Times New Roman"/>
          <w:b/>
          <w:bCs/>
          <w:sz w:val="27"/>
          <w:szCs w:val="27"/>
        </w:rPr>
        <w:t xml:space="preserve">40) UC040_ Xem nhật ký kiểm toán</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Xem nhật ký kiểm toán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tra cứu toàn bộ thao tác đã thực hiện trên hệ thống nhằm phục vụ điều tra sự cố, kiểm soát nội bộ và chứng minh tuân thủ khi cần.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doanh nghiệp (A03), Quản trị hệ thống (A04).</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Người dùng đã đăng nhập với vai trò có quyền xem nhật ký kiểm toán.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 thay đổi dữ liệu. Bản thân thao tác tra cứu nhật ký cũng được ghi nhận, đặc biệt khi mở các bản ghi có chứa dữ liệu cá nhân.</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Người dùng</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Mở màn hình nhật ký kiểm toán.</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Hiển thị danh sách bản ghi gồm thời điểm, người thực hiện, hành động, đối tượng tác động và địa chỉ mạng.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Lọc theo người thực hiện, loại hành động, khoảng thời gian hoặc mức nghiêm trọng.</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Trả về kết quả đã lọc theo cơ chế phân trang.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Chọn một bản ghi để xem chi tiết.</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Hiển thị chi tiết, gồm giá trị trước và sau nếu là thao tác thay đổi dữ liệu.</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Chuyển sang xem riêng nhóm cảnh báo an toàn.</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 Hiển thị các lời gọi công cụ bị chặn, các nỗ lực truy cập ngoài phạm vi doanh nghiệp và các tin nhắn có dấu hiệu chứa chỉ thị ẩn.</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Người dùng</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1.1. Nếu người truy cập là quản trị hệ thống của nền tảng.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1.2. Chỉ hiển thị các bản ghi ở cấp nền tảng, không hiển thị thao tác trên dữ liệu khách hàng của từng doanh nghiệp.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6.1. Nếu bản ghi có chứa dữ liệu cá nhân của khách hàng.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6.2. Nhập lý do khi cần xem đầy đủ.</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6.3. Hiển thị ở dạng che một phần theo mặc định và chỉ mở đầy đủ khi có lý do, đồng thời ghi nhận chính thao tác mở này vào nhật ký.</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2.1. Yêu cầu chỉnh sửa hoặc xóa một bản ghi nhật ký.</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2.2. Từ chối thao tác. Nhật ký kiểm toán chỉ cho phép đọc và ghi thêm, kể cả với vai trò quản trị cao nhất.</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4.1. Nếu bản ghi đã vượt thời hạn lưu trữ nóng.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4.2. Truy vấn từ kho lưu trữ dài hạn, dữ liệu vẫn đầy đủ nhưng thời gian phản hồi lâu hơn và có thông báo tương ứng.</w:t>
            </w:r>
          </w:p>
        </w:tc>
      </w:tr>
    </w:tbl>
    <w:p>
      <w:pPr>
        <w:spacing w:after="0" w:before="100"/>
      </w:pPr>
      <w:r>
        <w:rPr>
          <w:sz w:val="4"/>
          <w:szCs w:val="4"/>
        </w:rPr>
        <w:t xml:space="preserve"/>
      </w:r>
    </w:p>
    <w:p>
      <w:pPr>
        <w:keepNext/>
        <w:spacing w:after="60" w:before="340"/>
      </w:pPr>
      <w:r>
        <w:rPr>
          <w:rFonts w:ascii="Times New Roman" w:cs="Times New Roman" w:eastAsia="Times New Roman" w:hAnsi="Times New Roman"/>
          <w:b/>
          <w:bCs/>
          <w:sz w:val="27"/>
          <w:szCs w:val="27"/>
        </w:rPr>
        <w:t xml:space="preserve">41) UC041_ Xử lý yêu cầu xóa dữ liệu cá nhân</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Xử lý yêu cầu xóa dữ liệu cá nhân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tiếp nhận và thực thi yêu cầu xóa dữ liệu cá nhân của khách hàng theo quy định pháp luật về bảo vệ dữ liệu cá nhân, bảo đảm việc xóa được lan truyền tới toàn bộ dữ liệu dẫn xuất.</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doanh nghiệp (A03).</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Khách hàng đã gửi yêu cầu xóa dữ liệu cá nhân và quản trị viên đã xác minh danh tính của người yêu cầu.</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Dữ liệu định danh cá nhân được xóa hoặc ẩn danh hóa trên toàn bộ bảng liên quan. Số liệu thống kê tổng hợp đã ẩn danh được giữ nguyên để không phá vỡ tính liên tục của báo cáo. Toàn bộ thao tác được ghi nhật ký kèm căn cứ.</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Quản trị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Tiếp nhận yêu cầu và mở hồ sơ khách hàng tương ứng.</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Chọn thao tác xử lý yêu cầu xóa dữ liệu cá nhân.</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Hiển thị phạm vi ảnh hưởng gồm hội thoại, tin nhắn, ghi chú, danh tính kênh, cơ hội tiềm năng, cơ hội bán hàng và các bản ghi tương tác.</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Nêu rõ dữ liệu nào sẽ bị xóa hoàn toàn và dữ liệu nào sẽ được ẩn danh hóa nhằm giữ tính toàn vẹn của số liệu thống kê.</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Nhập căn cứ của yêu cầu và xác nhận thực hiện.</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Xóa hoặc ẩn danh hóa dữ liệu định danh trên toàn bộ bảng liên quan trong cùng một quy trình có kiểm soát.</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Xóa các đoạn nội dung liên quan trong bộ nhớ đệm và trong các bản ghi tương tác của tác tử AI.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 Giữ lại các số liệu tổng hợp đã ẩn danh phục vụ báo cáo.</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 Ghi nhận thao tác vào nhật ký kiểm toán kèm căn cứ và phạm vi đã xử lý.</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10. Tải biên bản xác nhận đã xử lý để phản hồi cho khách hàng.</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11. Sinh biên bản xác nhận kèm thời điểm và phạm vi dữ liệu đã xử lý.</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Quản trị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5.1. Nếu khách hàng đang có cơ hội bán hàng ở trạng thái mở.</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5.2. Cân nhắc và xác nhận lần thứ hai nếu vẫn tiếp tục.</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5.3. Hiển thị cảnh báo về ảnh hưởng tới nghiệp vụ đang diễn ra và yêu cầu xác nhận bổ sung.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6.1. Nếu dữ liệu đã được đồng bộ sang hệ thống nghiệp vụ bên ngoài.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6.2. Thông báo rõ phạm vi xóa chỉ có hiệu lực trong hệ thống này và hướng dẫn xử lý riêng ở hệ thống bên ngoài.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6.3. Nếu xảy ra lỗi khi đang thực hiện xóa trên nhiều bảng.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6.4. Ghi nhận trạng thái xử lý dở dang và cho phép chạy lại, không để dữ liệu ở trạng thái nửa vời mà thiếu cảnh báo.</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3.1. Nếu khách hàng có bản ghi được hợp nhất từ nhiều nguồn khác nhau.</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3.2. Hiển thị đầy đủ các bản ghi liên quan trước khi thực hiện, để tránh bỏ sót dữ liệu cần xóa.</w:t>
            </w:r>
          </w:p>
        </w:tc>
      </w:tr>
    </w:tbl>
    <w:p>
      <w:pPr>
        <w:spacing w:after="0" w:before="100"/>
      </w:pPr>
      <w:r>
        <w:rPr>
          <w:sz w:val="4"/>
          <w:szCs w:val="4"/>
        </w:rPr>
        <w:t xml:space="preserve"/>
      </w:r>
    </w:p>
    <w:p>
      <w:pPr>
        <w:keepNext/>
        <w:spacing w:after="60" w:before="340"/>
      </w:pPr>
      <w:r>
        <w:rPr>
          <w:rFonts w:ascii="Times New Roman" w:cs="Times New Roman" w:eastAsia="Times New Roman" w:hAnsi="Times New Roman"/>
          <w:b/>
          <w:bCs/>
          <w:sz w:val="27"/>
          <w:szCs w:val="27"/>
        </w:rPr>
        <w:t xml:space="preserve">42) UC042_ Xuất báo cáo ra tệp</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Xuất báo cáo ra tệp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xuất dữ liệu báo cáo ra tệp để lưu trữ, chia sẻ hoặc phân tích thêm bằng công cụ bên ngoài.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doanh nghiệp (A03).</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đang mở một báo cáo có dữ liệu.</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Tệp báo cáo được sinh và lưu tạm với thời hạn hiệu lực. Thao tác xuất dữ liệu được ghi nhận vào nhật ký kiểm toán.</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Quản trị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Mở một báo cáo và chọn chức năng xuất tệp.</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Hiển thị các tùy chọn gồm định dạng tệp, khoảng thời gian và danh sách cột dữ liệu cần đưa vào.</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Chọn tùy chọn và xác nhận.</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Ước lượng khối lượng dữ liệu cần xuất.</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Tạo công việc xuất báo cáo chạy nền.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Thông báo đang xử lý để người dùng tiếp tục làm việc khác mà không phải chờ.</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Sinh tệp và lưu tạm kèm thời hạn hiệu lực của liên kết tải.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 Gửi thông báo hoàn tất kèm liên kết tải tệp.</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 Tải tệp về máy.</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10. Ghi nhận thao tác xuất dữ liệu vào nhật ký kiểm toán, gồm phạm vi dữ liệu và người thực hiện.</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Quản trị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4.1. Nếu khối lượng dữ liệu nhỏ.</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4.2. Xuất trực tiếp và trả tệp ngay, không cần tạo công việc chạy nền.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4.3. Nếu khối lượng dữ liệu vượt giới hạn cho phép.</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4.4. Thu hẹp khoảng thời gian hoặc chấp nhận chia thành nhiều tệp.</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4.5. Đề nghị thu hẹp phạm vi hoặc tự động chia kết quả thành nhiều tệp.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2.1. Nếu báo cáo có chứa dữ liệu cá nhân của khách hàng.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2.2. Hiển thị cảnh báo về trách nhiệm bảo vệ dữ liệu cá nhân và yêu cầu xác nhận trước khi xuất.</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7.1. Nếu liên kết tải đã quá thời hạn hiệu lực.</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7.2. Xóa tệp tạm và yêu cầu người dùng thực hiện lại thao tác xuất.</w:t>
            </w:r>
          </w:p>
        </w:tc>
      </w:tr>
    </w:tbl>
    <w:p>
      <w:pPr>
        <w:spacing w:after="0" w:before="100"/>
      </w:pPr>
      <w:r>
        <w:rPr>
          <w:sz w:val="4"/>
          <w:szCs w:val="4"/>
        </w:rPr>
        <w:t xml:space="preserve"/>
      </w:r>
    </w:p>
    <w:p>
      <w:r>
        <w:br w:type="page"/>
      </w:r>
    </w:p>
    <w:p>
      <w:pPr>
        <w:pStyle w:val="Heading1"/>
        <w:spacing w:after="180" w:before="320"/>
      </w:pPr>
      <w:r>
        <w:rPr>
          <w:rFonts w:ascii="Times New Roman" w:cs="Times New Roman" w:eastAsia="Times New Roman" w:hAnsi="Times New Roman"/>
          <w:b/>
          <w:bCs/>
          <w:color w:val="000000"/>
          <w:sz w:val="30"/>
          <w:szCs w:val="30"/>
        </w:rPr>
        <w:t xml:space="preserve">3. TỔNG KẾT TOÀN BỘ HỆ THỐNG</w:t>
      </w:r>
    </w:p>
    <w:p>
      <w:pPr>
        <w:pStyle w:val="Heading2"/>
        <w:spacing w:after="140" w:before="260"/>
      </w:pPr>
      <w:r>
        <w:rPr>
          <w:rFonts w:ascii="Times New Roman" w:cs="Times New Roman" w:eastAsia="Times New Roman" w:hAnsi="Times New Roman"/>
          <w:b/>
          <w:bCs/>
          <w:color w:val="000000"/>
          <w:sz w:val="27"/>
          <w:szCs w:val="27"/>
        </w:rPr>
        <w:t xml:space="preserve">3.1. Bảng truy vết Use Case đối chiếu với yêu cầu đề tài</w:t>
      </w:r>
    </w:p>
    <w:p>
      <w:pPr>
        <w:spacing w:after="120" w:before="60" w:line="300"/>
        <w:jc w:val="both"/>
      </w:pPr>
      <w:r>
        <w:rPr>
          <w:rFonts w:ascii="Times New Roman" w:cs="Times New Roman" w:eastAsia="Times New Roman" w:hAnsi="Times New Roman"/>
          <w:b w:val="false"/>
          <w:bCs w:val="false"/>
          <w:i w:val="false"/>
          <w:iCs w:val="false"/>
          <w:color w:val="000000"/>
          <w:sz w:val="26"/>
          <w:szCs w:val="26"/>
        </w:rPr>
        <w:t xml:space="preserve">Bảng dưới đây đối chiếu từng yêu cầu nêu trong đề cương đề tài với các use case đáp ứng yêu cầu đó. Bảng này nên được đưa vào chương Phân tích và thiết kế của báo cáo, vì nó chứng minh phạm vi hệ thống bao phủ đầy đủ yêu cầu được giao.</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4900"/>
        <w:gridCol w:w="4126"/>
      </w:tblGrid>
      <w:tr>
        <w:trPr>
          <w:tblHeader/>
        </w:trPr>
        <w:tc>
          <w:tcPr>
            <w:tcW w:type="dxa" w:w="49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Yêu cầu trong đề tài</w:t>
            </w:r>
          </w:p>
        </w:tc>
        <w:tc>
          <w:tcPr>
            <w:tcW w:type="dxa" w:w="4126"/>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Use Case đáp ứng</w:t>
            </w:r>
          </w:p>
        </w:tc>
      </w:tr>
      <w:tr>
        <w:trPr>
          <w:cantSplit/>
        </w:trPr>
        <w:tc>
          <w:tcPr>
            <w:tcW w:type="dxa" w:w="4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Chatbot AI tự động trả lời khách hàng</w:t>
            </w:r>
          </w:p>
        </w:tc>
        <w:tc>
          <w:tcPr>
            <w:tcW w:type="dxa" w:w="41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UC010, UC022, UC023, UC025, UC026</w:t>
            </w:r>
          </w:p>
        </w:tc>
      </w:tr>
      <w:tr>
        <w:trPr>
          <w:cantSplit/>
        </w:trPr>
        <w:tc>
          <w:tcPr>
            <w:tcW w:type="dxa" w:w="4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Tích hợp CRM quản lý khách hàng</w:t>
            </w:r>
          </w:p>
        </w:tc>
        <w:tc>
          <w:tcPr>
            <w:tcW w:type="dxa" w:w="41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UC012, UC015, UC016, UC017</w:t>
            </w:r>
          </w:p>
        </w:tc>
      </w:tr>
      <w:tr>
        <w:trPr>
          <w:cantSplit/>
        </w:trPr>
        <w:tc>
          <w:tcPr>
            <w:tcW w:type="dxa" w:w="4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Hỗ trợ đa kênh: Web, Zalo, Facebook Messenger</w:t>
            </w:r>
          </w:p>
        </w:tc>
        <w:tc>
          <w:tcPr>
            <w:tcW w:type="dxa" w:w="41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UC008, UC009, UC010, UC011, UC013</w:t>
            </w:r>
          </w:p>
        </w:tc>
      </w:tr>
      <w:tr>
        <w:trPr>
          <w:cantSplit/>
        </w:trPr>
        <w:tc>
          <w:tcPr>
            <w:tcW w:type="dxa" w:w="4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Huấn luyện chatbot theo dữ liệu riêng của doanh nghiệp bằng RAG</w:t>
            </w:r>
          </w:p>
        </w:tc>
        <w:tc>
          <w:tcPr>
            <w:tcW w:type="dxa" w:w="41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UC018, UC019, UC020, UC023</w:t>
            </w:r>
          </w:p>
        </w:tc>
      </w:tr>
      <w:tr>
        <w:trPr>
          <w:cantSplit/>
        </w:trPr>
        <w:tc>
          <w:tcPr>
            <w:tcW w:type="dxa" w:w="4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Tự động phân loại và ghi nhận khách hàng tiềm năng</w:t>
            </w:r>
          </w:p>
        </w:tc>
        <w:tc>
          <w:tcPr>
            <w:tcW w:type="dxa" w:w="41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UC029, UC030, UC031, UC032</w:t>
            </w:r>
          </w:p>
        </w:tc>
      </w:tr>
      <w:tr>
        <w:trPr>
          <w:cantSplit/>
        </w:trPr>
        <w:tc>
          <w:tcPr>
            <w:tcW w:type="dxa" w:w="4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Dashboard thống kê hội thoại</w:t>
            </w:r>
          </w:p>
        </w:tc>
        <w:tc>
          <w:tcPr>
            <w:tcW w:type="dxa" w:w="41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UC036, UC037, UC038, UC039</w:t>
            </w:r>
          </w:p>
        </w:tc>
      </w:tr>
      <w:tr>
        <w:trPr>
          <w:cantSplit/>
        </w:trPr>
        <w:tc>
          <w:tcPr>
            <w:tcW w:type="dxa" w:w="4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Thương mại hóa theo mô hình SaaS thu phí theo số lượng hội thoại</w:t>
            </w:r>
          </w:p>
        </w:tc>
        <w:tc>
          <w:tcPr>
            <w:tcW w:type="dxa" w:w="41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UC001, UC005, UC006, UC007</w:t>
            </w:r>
          </w:p>
        </w:tc>
      </w:tr>
      <w:tr>
        <w:trPr>
          <w:cantSplit/>
        </w:trPr>
        <w:tc>
          <w:tcPr>
            <w:tcW w:type="dxa" w:w="4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Giảm tải cho nhân viên chăm sóc khách hàng</w:t>
            </w:r>
          </w:p>
        </w:tc>
        <w:tc>
          <w:tcPr>
            <w:tcW w:type="dxa" w:w="41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UC014, UC024, UC026, UC035</w:t>
            </w:r>
          </w:p>
        </w:tc>
      </w:tr>
      <w:tr>
        <w:trPr>
          <w:cantSplit/>
        </w:trPr>
        <w:tc>
          <w:tcPr>
            <w:tcW w:type="dxa" w:w="4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An toàn và tuân thủ (vượt ngoài yêu cầu tối thiểu của đề tài)</w:t>
            </w:r>
          </w:p>
        </w:tc>
        <w:tc>
          <w:tcPr>
            <w:tcW w:type="dxa" w:w="41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UC021, UC028, UC040, UC041</w:t>
            </w:r>
          </w:p>
        </w:tc>
      </w:tr>
    </w:tbl>
    <w:p>
      <w:pPr>
        <w:pStyle w:val="Heading2"/>
        <w:spacing w:after="140" w:before="260"/>
      </w:pPr>
      <w:r>
        <w:rPr>
          <w:rFonts w:ascii="Times New Roman" w:cs="Times New Roman" w:eastAsia="Times New Roman" w:hAnsi="Times New Roman"/>
          <w:b/>
          <w:bCs/>
          <w:color w:val="000000"/>
          <w:sz w:val="27"/>
          <w:szCs w:val="27"/>
        </w:rPr>
        <w:t xml:space="preserve">3.2. Gợi ý phân nhóm khi vẽ sơ đồ use case</w:t>
      </w:r>
    </w:p>
    <w:p>
      <w:pPr>
        <w:spacing w:after="120" w:before="60" w:line="300"/>
        <w:jc w:val="both"/>
      </w:pPr>
      <w:r>
        <w:rPr>
          <w:rFonts w:ascii="Times New Roman" w:cs="Times New Roman" w:eastAsia="Times New Roman" w:hAnsi="Times New Roman"/>
          <w:b w:val="false"/>
          <w:bCs w:val="false"/>
          <w:i w:val="false"/>
          <w:iCs w:val="false"/>
          <w:color w:val="000000"/>
          <w:sz w:val="26"/>
          <w:szCs w:val="26"/>
        </w:rPr>
        <w:t xml:space="preserve">Một sơ đồ chứa cả 42 use case sẽ không đọc được khi in trong báo cáo. Nên vẽ sáu sơ đồ theo gói chức năng, kèm một sơ đồ tổng quan chỉ thể hiện actor và các gói.</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600"/>
        <w:gridCol w:w="3000"/>
        <w:gridCol w:w="3426"/>
      </w:tblGrid>
      <w:tr>
        <w:trPr>
          <w:tblHeader/>
        </w:trPr>
        <w:tc>
          <w:tcPr>
            <w:tcW w:type="dxa" w:w="26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Gói</w:t>
            </w:r>
          </w:p>
        </w:tc>
        <w:tc>
          <w:tcPr>
            <w:tcW w:type="dxa" w:w="30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Use Case</w:t>
            </w:r>
          </w:p>
        </w:tc>
        <w:tc>
          <w:tcPr>
            <w:tcW w:type="dxa" w:w="3426"/>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liên quan</w:t>
            </w:r>
          </w:p>
        </w:tc>
      </w:tr>
      <w:tr>
        <w:trPr>
          <w:cantSplit/>
        </w:trPr>
        <w:tc>
          <w:tcPr>
            <w:tcW w:type="dxa" w:w="26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Nền tảng và Thuê bao</w:t>
            </w:r>
          </w:p>
        </w:tc>
        <w:tc>
          <w:tcPr>
            <w:tcW w:type="dxa" w:w="30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UC001 – UC007</w:t>
            </w:r>
          </w:p>
        </w:tc>
        <w:tc>
          <w:tcPr>
            <w:tcW w:type="dxa" w:w="34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A03, A04</w:t>
            </w:r>
          </w:p>
        </w:tc>
      </w:tr>
      <w:tr>
        <w:trPr>
          <w:cantSplit/>
        </w:trPr>
        <w:tc>
          <w:tcPr>
            <w:tcW w:type="dxa" w:w="26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Kênh và Hội thoại</w:t>
            </w:r>
          </w:p>
        </w:tc>
        <w:tc>
          <w:tcPr>
            <w:tcW w:type="dxa" w:w="30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UC008 – UC017</w:t>
            </w:r>
          </w:p>
        </w:tc>
        <w:tc>
          <w:tcPr>
            <w:tcW w:type="dxa" w:w="34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A01, A02, A03, A06</w:t>
            </w:r>
          </w:p>
        </w:tc>
      </w:tr>
      <w:tr>
        <w:trPr>
          <w:cantSplit/>
        </w:trPr>
        <w:tc>
          <w:tcPr>
            <w:tcW w:type="dxa" w:w="26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Tri thức và Tích hợp</w:t>
            </w:r>
          </w:p>
        </w:tc>
        <w:tc>
          <w:tcPr>
            <w:tcW w:type="dxa" w:w="30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UC018 – UC021</w:t>
            </w:r>
          </w:p>
        </w:tc>
        <w:tc>
          <w:tcPr>
            <w:tcW w:type="dxa" w:w="34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A03, A07, A08</w:t>
            </w:r>
          </w:p>
        </w:tc>
      </w:tr>
      <w:tr>
        <w:trPr>
          <w:cantSplit/>
        </w:trPr>
        <w:tc>
          <w:tcPr>
            <w:tcW w:type="dxa" w:w="26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Tác tử AI</w:t>
            </w:r>
          </w:p>
        </w:tc>
        <w:tc>
          <w:tcPr>
            <w:tcW w:type="dxa" w:w="30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UC022 – UC031</w:t>
            </w:r>
          </w:p>
        </w:tc>
        <w:tc>
          <w:tcPr>
            <w:tcW w:type="dxa" w:w="34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A05, A07, A08</w:t>
            </w:r>
          </w:p>
        </w:tc>
      </w:tr>
      <w:tr>
        <w:trPr>
          <w:cantSplit/>
        </w:trPr>
        <w:tc>
          <w:tcPr>
            <w:tcW w:type="dxa" w:w="26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Bán hàng</w:t>
            </w:r>
          </w:p>
        </w:tc>
        <w:tc>
          <w:tcPr>
            <w:tcW w:type="dxa" w:w="30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UC032 – UC035</w:t>
            </w:r>
          </w:p>
        </w:tc>
        <w:tc>
          <w:tcPr>
            <w:tcW w:type="dxa" w:w="34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A02, A03</w:t>
            </w:r>
          </w:p>
        </w:tc>
      </w:tr>
      <w:tr>
        <w:trPr>
          <w:cantSplit/>
        </w:trPr>
        <w:tc>
          <w:tcPr>
            <w:tcW w:type="dxa" w:w="26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Thống kê và Tuân thủ</w:t>
            </w:r>
          </w:p>
        </w:tc>
        <w:tc>
          <w:tcPr>
            <w:tcW w:type="dxa" w:w="30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UC036 – UC042</w:t>
            </w:r>
          </w:p>
        </w:tc>
        <w:tc>
          <w:tcPr>
            <w:tcW w:type="dxa" w:w="34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A03, A04</w:t>
            </w:r>
          </w:p>
        </w:tc>
      </w:tr>
    </w:tbl>
    <w:p>
      <w:pPr>
        <w:pStyle w:val="Heading2"/>
        <w:spacing w:after="140" w:before="260"/>
      </w:pPr>
      <w:r>
        <w:rPr>
          <w:rFonts w:ascii="Times New Roman" w:cs="Times New Roman" w:eastAsia="Times New Roman" w:hAnsi="Times New Roman"/>
          <w:b/>
          <w:bCs/>
          <w:color w:val="000000"/>
          <w:sz w:val="27"/>
          <w:szCs w:val="27"/>
        </w:rPr>
        <w:t xml:space="preserve">3.3. Các quan hệ include và extend nên thể hiện trên sơ đồ</w:t>
      </w:r>
    </w:p>
    <w:p>
      <w:pPr>
        <w:spacing w:after="120" w:before="60" w:line="300"/>
        <w:jc w:val="both"/>
      </w:pPr>
      <w:r>
        <w:rPr>
          <w:rFonts w:ascii="Times New Roman" w:cs="Times New Roman" w:eastAsia="Times New Roman" w:hAnsi="Times New Roman"/>
          <w:b w:val="false"/>
          <w:bCs w:val="false"/>
          <w:i w:val="false"/>
          <w:iCs w:val="false"/>
          <w:color w:val="000000"/>
          <w:sz w:val="26"/>
          <w:szCs w:val="26"/>
        </w:rPr>
        <w:t xml:space="preserve">Những quan hệ dưới đây là các phụ thuộc thật giữa các use case đã đặc tả. Thể hiện đúng chúng trên sơ đồ giúp người đọc thấy được luồng xử lý mà không cần đọc toàn bộ phần đặc tả.</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3000"/>
        <w:gridCol w:w="6026"/>
      </w:tblGrid>
      <w:tr>
        <w:trPr>
          <w:tblHeader/>
        </w:trPr>
        <w:tc>
          <w:tcPr>
            <w:tcW w:type="dxa" w:w="30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Quan hệ</w:t>
            </w:r>
          </w:p>
        </w:tc>
        <w:tc>
          <w:tcPr>
            <w:tcW w:type="dxa" w:w="6026"/>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Ý nghĩa</w:t>
            </w:r>
          </w:p>
        </w:tc>
      </w:tr>
      <w:tr>
        <w:trPr>
          <w:cantSplit/>
        </w:trPr>
        <w:tc>
          <w:tcPr>
            <w:tcW w:type="dxa" w:w="30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UC010 include UC011</w:t>
            </w:r>
          </w:p>
        </w:tc>
        <w:tc>
          <w:tcPr>
            <w:tcW w:type="dxa" w:w="60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Mọi tin nhắn khách hàng gửi đều phải đi qua quy trình tiếp nhận, xác thực chữ ký và hợp nhất danh tính.</w:t>
            </w:r>
          </w:p>
        </w:tc>
      </w:tr>
      <w:tr>
        <w:trPr>
          <w:cantSplit/>
        </w:trPr>
        <w:tc>
          <w:tcPr>
            <w:tcW w:type="dxa" w:w="30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UC023 extend UC022</w:t>
            </w:r>
          </w:p>
        </w:tc>
        <w:tc>
          <w:tcPr>
            <w:tcW w:type="dxa" w:w="60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Nhánh truy hồi tri thức chỉ được kích hoạt khi ý định được phân loại là hỏi về tri thức doanh nghiệp.</w:t>
            </w:r>
          </w:p>
        </w:tc>
      </w:tr>
      <w:tr>
        <w:trPr>
          <w:cantSplit/>
        </w:trPr>
        <w:tc>
          <w:tcPr>
            <w:tcW w:type="dxa" w:w="30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UC024 extend UC022</w:t>
            </w:r>
          </w:p>
        </w:tc>
        <w:tc>
          <w:tcPr>
            <w:tcW w:type="dxa" w:w="60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Nhánh gọi công cụ chỉ được kích hoạt khi ý định là hỏi dữ liệu nghiệp vụ thời gian thực.</w:t>
            </w:r>
          </w:p>
        </w:tc>
      </w:tr>
      <w:tr>
        <w:trPr>
          <w:cantSplit/>
        </w:trPr>
        <w:tc>
          <w:tcPr>
            <w:tcW w:type="dxa" w:w="30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UC014 extend UC022</w:t>
            </w:r>
          </w:p>
        </w:tc>
        <w:tc>
          <w:tcPr>
            <w:tcW w:type="dxa" w:w="60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Chuyển giao nhân viên là một nhánh có điều kiện của quá trình định tuyến.</w:t>
            </w:r>
          </w:p>
        </w:tc>
      </w:tr>
      <w:tr>
        <w:trPr>
          <w:cantSplit/>
        </w:trPr>
        <w:tc>
          <w:tcPr>
            <w:tcW w:type="dxa" w:w="30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UC024 include UC028</w:t>
            </w:r>
          </w:p>
        </w:tc>
        <w:tc>
          <w:tcPr>
            <w:tcW w:type="dxa" w:w="60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Mọi lời gọi công cụ đều bắt buộc đi qua lớp kiểm duyệt, không có ngoại lệ.</w:t>
            </w:r>
          </w:p>
        </w:tc>
      </w:tr>
      <w:tr>
        <w:trPr>
          <w:cantSplit/>
        </w:trPr>
        <w:tc>
          <w:tcPr>
            <w:tcW w:type="dxa" w:w="30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UC025 extend UC023</w:t>
            </w:r>
          </w:p>
        </w:tc>
        <w:tc>
          <w:tcPr>
            <w:tcW w:type="dxa" w:w="60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Từ chối trả lời được kích hoạt khi không có đoạn tri thức nào đạt ngưỡng.</w:t>
            </w:r>
          </w:p>
        </w:tc>
      </w:tr>
      <w:tr>
        <w:trPr>
          <w:cantSplit/>
        </w:trPr>
        <w:tc>
          <w:tcPr>
            <w:tcW w:type="dxa" w:w="30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UC025 extend UC024</w:t>
            </w:r>
          </w:p>
        </w:tc>
        <w:tc>
          <w:tcPr>
            <w:tcW w:type="dxa" w:w="60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Từ chối cũng được kích hoạt khi không lấy được dữ liệu từ hệ thống bên ngoài.</w:t>
            </w:r>
          </w:p>
        </w:tc>
      </w:tr>
      <w:tr>
        <w:trPr>
          <w:cantSplit/>
        </w:trPr>
        <w:tc>
          <w:tcPr>
            <w:tcW w:type="dxa" w:w="30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UC018 include UC019</w:t>
            </w:r>
          </w:p>
        </w:tc>
        <w:tc>
          <w:tcPr>
            <w:tcW w:type="dxa" w:w="60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Mọi tài liệu tải lên đều kéo theo quy trình nạp và lập chỉ mục.</w:t>
            </w:r>
          </w:p>
        </w:tc>
      </w:tr>
      <w:tr>
        <w:trPr>
          <w:cantSplit/>
        </w:trPr>
        <w:tc>
          <w:tcPr>
            <w:tcW w:type="dxa" w:w="30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UC029 include UC030</w:t>
            </w:r>
          </w:p>
        </w:tc>
        <w:tc>
          <w:tcPr>
            <w:tcW w:type="dxa" w:w="60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Trích xuất tín hiệu luôn kéo theo việc chấm điểm lại.</w:t>
            </w:r>
          </w:p>
        </w:tc>
      </w:tr>
      <w:tr>
        <w:trPr>
          <w:cantSplit/>
        </w:trPr>
        <w:tc>
          <w:tcPr>
            <w:tcW w:type="dxa" w:w="30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UC031 extend UC030</w:t>
            </w:r>
          </w:p>
        </w:tc>
        <w:tc>
          <w:tcPr>
            <w:tcW w:type="dxa" w:w="60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Tự động tạo cơ hội tiềm năng chỉ xảy ra khi điểm vượt ngưỡng cấu hình.</w:t>
            </w:r>
          </w:p>
        </w:tc>
      </w:tr>
      <w:tr>
        <w:trPr>
          <w:cantSplit/>
        </w:trPr>
        <w:tc>
          <w:tcPr>
            <w:tcW w:type="dxa" w:w="30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UC033 extend UC032</w:t>
            </w:r>
          </w:p>
        </w:tc>
        <w:tc>
          <w:tcPr>
            <w:tcW w:type="dxa" w:w="60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Chuyển thành cơ hội bán hàng là một thao tác tùy chọn trên cơ hội tiềm năng.</w:t>
            </w:r>
          </w:p>
        </w:tc>
      </w:tr>
      <w:tr>
        <w:trPr>
          <w:cantSplit/>
        </w:trPr>
        <w:tc>
          <w:tcPr>
            <w:tcW w:type="dxa" w:w="30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UC042 extend UC036, UC037, UC038, UC039</w:t>
            </w:r>
          </w:p>
        </w:tc>
        <w:tc>
          <w:tcPr>
            <w:tcW w:type="dxa" w:w="60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Xuất tệp là chức năng bổ trợ dùng chung cho mọi báo cáo.</w:t>
            </w:r>
          </w:p>
        </w:tc>
      </w:tr>
    </w:tbl>
    <w:p>
      <w:pPr>
        <w:pStyle w:val="Heading2"/>
        <w:spacing w:after="140" w:before="260"/>
      </w:pPr>
      <w:r>
        <w:rPr>
          <w:rFonts w:ascii="Times New Roman" w:cs="Times New Roman" w:eastAsia="Times New Roman" w:hAnsi="Times New Roman"/>
          <w:b/>
          <w:bCs/>
          <w:color w:val="000000"/>
          <w:sz w:val="27"/>
          <w:szCs w:val="27"/>
        </w:rPr>
        <w:t xml:space="preserve">3.4. Thống kê tổng hợp</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5000"/>
        <w:gridCol w:w="4026"/>
      </w:tblGrid>
      <w:tr>
        <w:trPr>
          <w:tblHeader/>
        </w:trPr>
        <w:tc>
          <w:tcPr>
            <w:tcW w:type="dxa" w:w="50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Chỉ tiêu</w:t>
            </w:r>
          </w:p>
        </w:tc>
        <w:tc>
          <w:tcPr>
            <w:tcW w:type="dxa" w:w="4026"/>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Số lượng</w:t>
            </w:r>
          </w:p>
        </w:tc>
      </w:tr>
      <w:tr>
        <w:trPr>
          <w:cantSplit/>
        </w:trPr>
        <w:tc>
          <w:tcPr>
            <w:tcW w:type="dxa" w:w="50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Tổng số actor</w:t>
            </w:r>
          </w:p>
        </w:tc>
        <w:tc>
          <w:tcPr>
            <w:tcW w:type="dxa" w:w="40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8 (4 chính, 4 phụ)</w:t>
            </w:r>
          </w:p>
        </w:tc>
      </w:tr>
      <w:tr>
        <w:trPr>
          <w:cantSplit/>
        </w:trPr>
        <w:tc>
          <w:tcPr>
            <w:tcW w:type="dxa" w:w="50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Tổng số use case</w:t>
            </w:r>
          </w:p>
        </w:tc>
        <w:tc>
          <w:tcPr>
            <w:tcW w:type="dxa" w:w="40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42</w:t>
            </w:r>
          </w:p>
        </w:tc>
      </w:tr>
      <w:tr>
        <w:trPr>
          <w:cantSplit/>
        </w:trPr>
        <w:tc>
          <w:tcPr>
            <w:tcW w:type="dxa" w:w="50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Use case do tác tử AI khởi tạo</w:t>
            </w:r>
          </w:p>
        </w:tc>
        <w:tc>
          <w:tcPr>
            <w:tcW w:type="dxa" w:w="40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9 (UC014, UC022 – UC026, UC028 – UC031)</w:t>
            </w:r>
          </w:p>
        </w:tc>
      </w:tr>
      <w:tr>
        <w:trPr>
          <w:cantSplit/>
        </w:trPr>
        <w:tc>
          <w:tcPr>
            <w:tcW w:type="dxa" w:w="50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Use case của khách hàng</w:t>
            </w:r>
          </w:p>
        </w:tc>
        <w:tc>
          <w:tcPr>
            <w:tcW w:type="dxa" w:w="40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1 (UC010)</w:t>
            </w:r>
          </w:p>
        </w:tc>
      </w:tr>
      <w:tr>
        <w:trPr>
          <w:cantSplit/>
        </w:trPr>
        <w:tc>
          <w:tcPr>
            <w:tcW w:type="dxa" w:w="50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Use case của nhân viên chăm sóc khách hàng</w:t>
            </w:r>
          </w:p>
        </w:tc>
        <w:tc>
          <w:tcPr>
            <w:tcW w:type="dxa" w:w="40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9</w:t>
            </w:r>
          </w:p>
        </w:tc>
      </w:tr>
      <w:tr>
        <w:trPr>
          <w:cantSplit/>
        </w:trPr>
        <w:tc>
          <w:tcPr>
            <w:tcW w:type="dxa" w:w="50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Use case của quản trị viên doanh nghiệp</w:t>
            </w:r>
          </w:p>
        </w:tc>
        <w:tc>
          <w:tcPr>
            <w:tcW w:type="dxa" w:w="40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22</w:t>
            </w:r>
          </w:p>
        </w:tc>
      </w:tr>
      <w:tr>
        <w:trPr>
          <w:cantSplit/>
        </w:trPr>
        <w:tc>
          <w:tcPr>
            <w:tcW w:type="dxa" w:w="50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Use case của quản trị hệ thống</w:t>
            </w:r>
          </w:p>
        </w:tc>
        <w:tc>
          <w:tcPr>
            <w:tcW w:type="dxa" w:w="40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2 (UC007, UC040)</w:t>
            </w:r>
          </w:p>
        </w:tc>
      </w:tr>
      <w:tr>
        <w:trPr>
          <w:cantSplit/>
        </w:trPr>
        <w:tc>
          <w:tcPr>
            <w:tcW w:type="dxa" w:w="50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Use case hệ thống do nền tảng ngoài khởi tạo</w:t>
            </w:r>
          </w:p>
        </w:tc>
        <w:tc>
          <w:tcPr>
            <w:tcW w:type="dxa" w:w="40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1 (UC011)</w:t>
            </w:r>
          </w:p>
        </w:tc>
      </w:tr>
    </w:tbl>
    <w:p>
      <w:pPr>
        <w:spacing w:after="100" w:before="300"/>
      </w:pPr>
      <w:r>
        <w:rPr>
          <w:sz w:val="4"/>
          <w:szCs w:val="4"/>
        </w:rPr>
        <w:t xml:space="preserve"/>
      </w:r>
    </w:p>
    <w:p>
      <w:pPr>
        <w:spacing w:after="120" w:before="60" w:line="300"/>
        <w:jc w:val="center"/>
      </w:pPr>
      <w:r>
        <w:rPr>
          <w:rFonts w:ascii="Times New Roman" w:cs="Times New Roman" w:eastAsia="Times New Roman" w:hAnsi="Times New Roman"/>
          <w:b w:val="false"/>
          <w:bCs w:val="false"/>
          <w:i/>
          <w:iCs/>
          <w:color w:val="000000"/>
          <w:sz w:val="26"/>
          <w:szCs w:val="26"/>
        </w:rPr>
        <w:t xml:space="preserve">Hoàn tất đặc tả use case hệ thống. Toàn bộ 42 use case đã được đặc tả qua 6 đợt tài liệu.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Use Case - Chatbot AI CRM - Đợt 6</dc:title>
  <dc:creator>Đặc tả Use Case</dc:creator>
  <cp:lastModifiedBy>Un-named</cp:lastModifiedBy>
  <cp:revision>1</cp:revision>
  <dcterms:created xsi:type="dcterms:W3CDTF">2026-08-19T11:31:02.736Z</dcterms:created>
  <dcterms:modified xsi:type="dcterms:W3CDTF">2026-08-19T11:31:02.751Z</dcterms:modified>
</cp:coreProperties>
</file>

<file path=docProps/custom.xml><?xml version="1.0" encoding="utf-8"?>
<Properties xmlns="http://schemas.openxmlformats.org/officeDocument/2006/custom-properties" xmlns:vt="http://schemas.openxmlformats.org/officeDocument/2006/docPropsVTypes"/>
</file>