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Quy trình xử lý khiếu nại</w:t>
      </w:r>
    </w:p>
    <w:p>
      <w:r>
        <w:t>Ban hành ngày 01/01/2026. Áp dụng cho mọi phản ánh, khiếu nại của khách hàng về sản phẩm, dịch vụ giao hàng, lắp đặt, bảo hành và thái độ phục vụ của Siêu Thị Điện Máy Ngân Hà.</w:t>
      </w:r>
    </w:p>
    <w:p>
      <w:pPr>
        <w:pStyle w:val="Heading2"/>
      </w:pPr>
      <w:r>
        <w:t>1. Kênh tiếp nhận</w:t>
      </w:r>
    </w:p>
    <w:p>
      <w:pPr>
        <w:pStyle w:val="ListBullet"/>
      </w:pPr>
      <w:r>
        <w:t>Hotline chăm sóc khách hàng, hoạt động 8:00–21:30 hằng ngày.</w:t>
      </w:r>
    </w:p>
    <w:p>
      <w:pPr>
        <w:pStyle w:val="ListBullet"/>
      </w:pPr>
      <w:r>
        <w:t>Kênh chat trên website và ứng dụng Ngân Hà, hoạt động 7:00–22:00 hằng ngày.</w:t>
      </w:r>
    </w:p>
    <w:p>
      <w:pPr>
        <w:pStyle w:val="ListBullet"/>
      </w:pPr>
      <w:r>
        <w:t>Mục "Góp ý và khiếu nại" trong ứng dụng, tiếp nhận 24/7.</w:t>
      </w:r>
    </w:p>
    <w:p>
      <w:pPr>
        <w:pStyle w:val="ListBullet"/>
      </w:pPr>
      <w:r>
        <w:t>Trực tiếp tại quầy dịch vụ khách hàng của bất kỳ chi nhánh nào.</w:t>
      </w:r>
    </w:p>
    <w:p>
      <w:r>
        <w:t>Mọi khiếu nại đều được cấp mã theo dạng KN-năm tháng ngày-số thứ tự (ví dụ KN-261003-0042). Khách hàng dùng mã này để theo dõi tiến độ.</w:t>
      </w:r>
    </w:p>
    <w:p>
      <w:pPr>
        <w:pStyle w:val="Heading2"/>
      </w:pPr>
      <w:r>
        <w:t>2. Phân loại mức độ</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rPr>
            </w:r>
            <w:r>
              <w:rPr>
                <w:b/>
              </w:rPr>
              <w:t>Mức độ</w:t>
            </w:r>
          </w:p>
        </w:tc>
        <w:tc>
          <w:tcPr>
            <w:tcW w:type="dxa" w:w="2160"/>
          </w:tcPr>
          <w:p>
            <w:r>
              <w:rPr>
                <w:b/>
              </w:rPr>
            </w:r>
            <w:r>
              <w:rPr>
                <w:b/>
              </w:rPr>
              <w:t>Ví dụ</w:t>
            </w:r>
          </w:p>
        </w:tc>
        <w:tc>
          <w:tcPr>
            <w:tcW w:type="dxa" w:w="2160"/>
          </w:tcPr>
          <w:p>
            <w:r>
              <w:rPr>
                <w:b/>
              </w:rPr>
            </w:r>
            <w:r>
              <w:rPr>
                <w:b/>
              </w:rPr>
              <w:t>Thời hạn phản hồi đầu tiên</w:t>
            </w:r>
          </w:p>
        </w:tc>
        <w:tc>
          <w:tcPr>
            <w:tcW w:type="dxa" w:w="2160"/>
          </w:tcPr>
          <w:p>
            <w:r>
              <w:rPr>
                <w:b/>
              </w:rPr>
            </w:r>
            <w:r>
              <w:rPr>
                <w:b/>
              </w:rPr>
              <w:t>Thời hạn xử lý</w:t>
            </w:r>
          </w:p>
        </w:tc>
      </w:tr>
      <w:tr>
        <w:tc>
          <w:tcPr>
            <w:tcW w:type="dxa" w:w="2160"/>
          </w:tcPr>
          <w:p>
            <w:r/>
            <w:r>
              <w:t>Khẩn cấp</w:t>
            </w:r>
          </w:p>
        </w:tc>
        <w:tc>
          <w:tcPr>
            <w:tcW w:type="dxa" w:w="2160"/>
          </w:tcPr>
          <w:p>
            <w:r/>
            <w:r>
              <w:t>sản phẩm chập điện, bốc khói, rò rỉ gas, rò điện ra vỏ máy</w:t>
            </w:r>
          </w:p>
        </w:tc>
        <w:tc>
          <w:tcPr>
            <w:tcW w:type="dxa" w:w="2160"/>
          </w:tcPr>
          <w:p>
            <w:r/>
            <w:r>
              <w:t>2 giờ</w:t>
            </w:r>
          </w:p>
        </w:tc>
        <w:tc>
          <w:tcPr>
            <w:tcW w:type="dxa" w:w="2160"/>
          </w:tcPr>
          <w:p>
            <w:r/>
            <w:r>
              <w:t>có mặt xử lý an toàn trong 24 giờ</w:t>
            </w:r>
          </w:p>
        </w:tc>
      </w:tr>
      <w:tr>
        <w:tc>
          <w:tcPr>
            <w:tcW w:type="dxa" w:w="2160"/>
          </w:tcPr>
          <w:p>
            <w:r/>
            <w:r>
              <w:t>Cao</w:t>
            </w:r>
          </w:p>
        </w:tc>
        <w:tc>
          <w:tcPr>
            <w:tcW w:type="dxa" w:w="2160"/>
          </w:tcPr>
          <w:p>
            <w:r/>
            <w:r>
              <w:t>sản phẩm không sử dụng được, giao sai hoặc thiếu hàng, kỹ thuật viên lỡ hẹn</w:t>
            </w:r>
          </w:p>
        </w:tc>
        <w:tc>
          <w:tcPr>
            <w:tcW w:type="dxa" w:w="2160"/>
          </w:tcPr>
          <w:p>
            <w:r/>
            <w:r>
              <w:t>24 giờ</w:t>
            </w:r>
          </w:p>
        </w:tc>
        <w:tc>
          <w:tcPr>
            <w:tcW w:type="dxa" w:w="2160"/>
          </w:tcPr>
          <w:p>
            <w:r/>
            <w:r>
              <w:t>3 ngày làm việc</w:t>
            </w:r>
          </w:p>
        </w:tc>
      </w:tr>
      <w:tr>
        <w:tc>
          <w:tcPr>
            <w:tcW w:type="dxa" w:w="2160"/>
          </w:tcPr>
          <w:p>
            <w:r/>
            <w:r>
              <w:t>Thường</w:t>
            </w:r>
          </w:p>
        </w:tc>
        <w:tc>
          <w:tcPr>
            <w:tcW w:type="dxa" w:w="2160"/>
          </w:tcPr>
          <w:p>
            <w:r/>
            <w:r>
              <w:t>thái độ phục vụ, chậm trễ nhỏ, góp ý cải thiện</w:t>
            </w:r>
          </w:p>
        </w:tc>
        <w:tc>
          <w:tcPr>
            <w:tcW w:type="dxa" w:w="2160"/>
          </w:tcPr>
          <w:p>
            <w:r/>
            <w:r>
              <w:t>72 giờ</w:t>
            </w:r>
          </w:p>
        </w:tc>
        <w:tc>
          <w:tcPr>
            <w:tcW w:type="dxa" w:w="2160"/>
          </w:tcPr>
          <w:p>
            <w:r/>
            <w:r>
              <w:t>7 ngày làm việc</w:t>
            </w:r>
          </w:p>
        </w:tc>
      </w:tr>
    </w:tbl>
    <w:p>
      <w:r>
        <w:t>Khi khách hàng báo sự cố an toàn (mức khẩn cấp), nhân viên tiếp nhận hướng dẫn ngay: ngắt điện, khóa van gas hoặc van nước, không tự tháo máy.</w:t>
      </w:r>
    </w:p>
    <w:p>
      <w:pPr>
        <w:pStyle w:val="Heading2"/>
      </w:pPr>
      <w:r>
        <w:t>3. Các bước xử lý</w:t>
      </w:r>
    </w:p>
    <w:p>
      <w:pPr>
        <w:pStyle w:val="ListNumber"/>
      </w:pPr>
      <w:r>
        <w:rPr>
          <w:b/>
        </w:rPr>
        <w:t>Tiếp nhận và cấp mã:</w:t>
      </w:r>
      <w:r>
        <w:t xml:space="preserve"> ghi nhận thông tin khách hàng, số hóa đơn, mô tả sự việc, ảnh hoặc video nếu có. Gửi mã khiếu nại cho khách hàng qua tin nhắn.</w:t>
      </w:r>
    </w:p>
    <w:p>
      <w:pPr>
        <w:pStyle w:val="ListNumber"/>
      </w:pPr>
      <w:r>
        <w:rPr>
          <w:b/>
        </w:rPr>
        <w:t>Phân loại:</w:t>
      </w:r>
      <w:r>
        <w:t xml:space="preserve"> xác định mức độ theo mục 2 và chuyển đến bộ phận phụ trách (kho, giao hàng, kỹ thuật, bán hàng).</w:t>
      </w:r>
    </w:p>
    <w:p>
      <w:pPr>
        <w:pStyle w:val="ListNumber"/>
      </w:pPr>
      <w:r>
        <w:rPr>
          <w:b/>
        </w:rPr>
        <w:t>Xác minh:</w:t>
      </w:r>
      <w:r>
        <w:t xml:space="preserve"> bộ phận phụ trách kiểm tra chứng từ, nhật ký giao hàng, ghi âm cuộc gọi, camera tại cửa hàng nếu liên quan.</w:t>
      </w:r>
    </w:p>
    <w:p>
      <w:pPr>
        <w:pStyle w:val="ListNumber"/>
      </w:pPr>
      <w:r>
        <w:rPr>
          <w:b/>
        </w:rPr>
        <w:t>Đề xuất phương án:</w:t>
      </w:r>
      <w:r>
        <w:t xml:space="preserve"> liên hệ khách hàng trình bày kết quả xác minh và phương án giải quyết.</w:t>
      </w:r>
    </w:p>
    <w:p>
      <w:pPr>
        <w:pStyle w:val="ListNumber"/>
      </w:pPr>
      <w:r>
        <w:rPr>
          <w:b/>
        </w:rPr>
        <w:t>Thực hiện:</w:t>
      </w:r>
      <w:r>
        <w:t xml:space="preserve"> triển khai phương án khách hàng đã đồng ý.</w:t>
      </w:r>
    </w:p>
    <w:p>
      <w:pPr>
        <w:pStyle w:val="ListNumber"/>
      </w:pPr>
      <w:r>
        <w:rPr>
          <w:b/>
        </w:rPr>
        <w:t>Đóng khiếu nại và khảo sát:</w:t>
      </w:r>
      <w:r>
        <w:t xml:space="preserve"> gửi phiếu khảo sát mức độ hài lòng trong vòng 24 giờ sau khi đóng.</w:t>
      </w:r>
    </w:p>
    <w:p>
      <w:r>
        <w:t>Trường hợp cần hãng sản xuất giám định (ví dụ: nghi ngờ lỗi hàng loạt, cháy nổ), thời hạn xử lý được kéo dài tối đa 15 ngày làm việc; khách hàng được thông báo tiến độ ít nhất 3 ngày một lần.</w:t>
      </w:r>
    </w:p>
    <w:p>
      <w:pPr>
        <w:pStyle w:val="Heading2"/>
      </w:pPr>
      <w:r>
        <w:t>4. Mức bồi thường theo tình huống</w:t>
      </w:r>
    </w:p>
    <w:tbl>
      <w:tblPr>
        <w:tblStyle w:val="TableGrid"/>
        <w:tblW w:type="auto" w:w="0"/>
        <w:tblLook w:firstColumn="1" w:firstRow="1" w:lastColumn="0" w:lastRow="0" w:noHBand="0" w:noVBand="1" w:val="04A0"/>
      </w:tblPr>
      <w:tblGrid>
        <w:gridCol w:w="4320"/>
        <w:gridCol w:w="4320"/>
      </w:tblGrid>
      <w:tr>
        <w:tc>
          <w:tcPr>
            <w:tcW w:type="dxa" w:w="4320"/>
          </w:tcPr>
          <w:p>
            <w:r>
              <w:rPr>
                <w:b/>
              </w:rPr>
            </w:r>
            <w:r>
              <w:rPr>
                <w:b/>
              </w:rPr>
              <w:t>Tình huống</w:t>
            </w:r>
          </w:p>
        </w:tc>
        <w:tc>
          <w:tcPr>
            <w:tcW w:type="dxa" w:w="4320"/>
          </w:tcPr>
          <w:p>
            <w:r>
              <w:rPr>
                <w:b/>
              </w:rPr>
            </w:r>
            <w:r>
              <w:rPr>
                <w:b/>
              </w:rPr>
              <w:t>Bồi thường</w:t>
            </w:r>
          </w:p>
        </w:tc>
      </w:tr>
      <w:tr>
        <w:tc>
          <w:tcPr>
            <w:tcW w:type="dxa" w:w="4320"/>
          </w:tcPr>
          <w:p>
            <w:r/>
            <w:r>
              <w:t>Giao hàng trễ quá 24 giờ so với lịch hẹn (không do khách hàng)</w:t>
            </w:r>
          </w:p>
        </w:tc>
        <w:tc>
          <w:tcPr>
            <w:tcW w:type="dxa" w:w="4320"/>
          </w:tcPr>
          <w:p>
            <w:r/>
            <w:r>
              <w:t>phiếu mua hàng 200.000đ</w:t>
            </w:r>
          </w:p>
        </w:tc>
      </w:tr>
      <w:tr>
        <w:tc>
          <w:tcPr>
            <w:tcW w:type="dxa" w:w="4320"/>
          </w:tcPr>
          <w:p>
            <w:r/>
            <w:r>
              <w:t>Kỹ thuật viên lỡ hẹn bảo hành hoặc lắp đặt</w:t>
            </w:r>
          </w:p>
        </w:tc>
        <w:tc>
          <w:tcPr>
            <w:tcW w:type="dxa" w:w="4320"/>
          </w:tcPr>
          <w:p>
            <w:r/>
            <w:r>
              <w:t>phiếu mua hàng 100.000đ và miễn công lần hẹn kế tiếp</w:t>
            </w:r>
          </w:p>
        </w:tc>
      </w:tr>
      <w:tr>
        <w:tc>
          <w:tcPr>
            <w:tcW w:type="dxa" w:w="4320"/>
          </w:tcPr>
          <w:p>
            <w:r/>
            <w:r>
              <w:t>Giao sai hoặc thiếu hàng</w:t>
            </w:r>
          </w:p>
        </w:tc>
        <w:tc>
          <w:tcPr>
            <w:tcW w:type="dxa" w:w="4320"/>
          </w:tcPr>
          <w:p>
            <w:r/>
            <w:r>
              <w:t>giao bổ sung hoặc đổi đúng trong 24 giờ (nội thành), miễn phí</w:t>
            </w:r>
          </w:p>
        </w:tc>
      </w:tr>
      <w:tr>
        <w:tc>
          <w:tcPr>
            <w:tcW w:type="dxa" w:w="4320"/>
          </w:tcPr>
          <w:p>
            <w:r/>
            <w:r>
              <w:t>Lắp đặt gây hư hỏng tài sản của khách hàng</w:t>
            </w:r>
          </w:p>
        </w:tc>
        <w:tc>
          <w:tcPr>
            <w:tcW w:type="dxa" w:w="4320"/>
          </w:tcPr>
          <w:p>
            <w:r/>
            <w:r>
              <w:t>sửa chữa hoặc bồi thường theo giá trị thiệt hại đã thống nhất</w:t>
            </w:r>
          </w:p>
        </w:tc>
      </w:tr>
      <w:tr>
        <w:tc>
          <w:tcPr>
            <w:tcW w:type="dxa" w:w="4320"/>
          </w:tcPr>
          <w:p>
            <w:r/>
            <w:r>
              <w:t>Nhân viên có thái độ không đúng mực</w:t>
            </w:r>
          </w:p>
        </w:tc>
        <w:tc>
          <w:tcPr>
            <w:tcW w:type="dxa" w:w="4320"/>
          </w:tcPr>
          <w:p>
            <w:r/>
            <w:r>
              <w:t>xin lỗi chính thức bằng văn bản; xử lý kỷ luật nội bộ</w:t>
            </w:r>
          </w:p>
        </w:tc>
      </w:tr>
    </w:tbl>
    <w:p>
      <w:r>
        <w:t>Phiếu mua hàng bồi thường có hạn dùng 90 ngày, áp dụng cho mọi sản phẩm và không yêu cầu giá trị đơn hàng tối thiểu.</w:t>
      </w:r>
    </w:p>
    <w:p>
      <w:pPr>
        <w:pStyle w:val="Heading2"/>
      </w:pPr>
      <w:r>
        <w:t>5. Khi khách hàng chưa hài lòng</w:t>
      </w:r>
    </w:p>
    <w:p>
      <w:pPr>
        <w:pStyle w:val="ListBullet"/>
      </w:pPr>
      <w:r>
        <w:rPr>
          <w:b/>
        </w:rPr>
        <w:t>Cấp 1 — Quản lý chi nhánh:</w:t>
      </w:r>
      <w:r>
        <w:t xml:space="preserve"> xem xét lại trong vòng 48 giờ kể từ khi khách hàng phản hồi chưa đồng ý.</w:t>
      </w:r>
    </w:p>
    <w:p>
      <w:pPr>
        <w:pStyle w:val="ListBullet"/>
      </w:pPr>
      <w:r>
        <w:rPr>
          <w:b/>
        </w:rPr>
        <w:t>Cấp 2 — Bộ phận chăm sóc khách hàng trung tâm:</w:t>
      </w:r>
      <w:r>
        <w:t xml:space="preserve"> xem xét trong vòng 5 ngày làm việc; quyết định ở cấp này là quyết định cuối cùng của Ngân Hà.</w:t>
      </w:r>
    </w:p>
    <w:p>
      <w:pPr>
        <w:pStyle w:val="ListBullet"/>
      </w:pPr>
      <w:r>
        <w:t>Khách hàng có quyền gửi khiếu nại đến cơ quan bảo vệ quyền lợi người tiêu dùng theo quy định pháp luật bất kỳ lúc nào.</w:t>
      </w:r>
    </w:p>
    <w:p>
      <w:pPr>
        <w:pStyle w:val="Heading2"/>
      </w:pPr>
      <w:r>
        <w:t>6. Lưu trữ hồ sơ</w:t>
      </w:r>
    </w:p>
    <w:p>
      <w:r>
        <w:t>Hồ sơ khiếu nại (nội dung, chứng từ, trao đổi) được lưu trong 24 tháng kể từ ngày đóng khiếu nại. Ghi âm cuộc gọi liên quan được lưu theo thời hạn trong Chính sách bảo vệ dữ liệu cá nhân.</w:t>
      </w:r>
    </w:p>
    <w:p>
      <w:pPr>
        <w:pStyle w:val="Heading2"/>
      </w:pPr>
      <w:r>
        <w:t>7. Cam kết</w:t>
      </w:r>
    </w:p>
    <w:p>
      <w:pPr>
        <w:pStyle w:val="ListBullet"/>
      </w:pPr>
      <w:r>
        <w:t>Không yêu cầu khách hàng rút khiếu nại như một điều kiện để được giải quyết.</w:t>
      </w:r>
    </w:p>
    <w:p>
      <w:pPr>
        <w:pStyle w:val="ListBullet"/>
      </w:pPr>
      <w:r>
        <w:t>Không chia sẻ nội dung khiếu nại ra bên ngoài khi chưa có sự đồng ý của khách hàng, trừ khi pháp luật yêu cầu.</w:t>
      </w:r>
    </w:p>
    <w:p>
      <w:pPr>
        <w:pStyle w:val="ListBullet"/>
      </w:pPr>
      <w:r>
        <w:t>Tỷ lệ khiếu nại được đóng đúng hạn được báo cáo hằng tháng cho ban giám đốc.</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Siêu Thị Điện Máy Ngân Hà</dc:creator>
  <cp:keywords/>
  <dc:description>generated by python-docx</dc:description>
  <cp:lastModifiedBy/>
  <cp:revision>1</cp:revision>
  <dcterms:created xsi:type="dcterms:W3CDTF">2026-01-01T00:00:00Z</dcterms:created>
  <dcterms:modified xsi:type="dcterms:W3CDTF">2026-01-01T00:00:00Z</dcterms:modified>
  <cp:category/>
</cp:coreProperties>
</file>