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1F497D"/>
          <w:sz w:val="32"/>
        </w:rPr>
        <w:t>BÁO CÁO KỸ THUẬT TRIỂN KHAI STEP 4 (NPU DEPLOYMENT)</w:t>
      </w:r>
    </w:p>
    <w:p>
      <w:pPr>
        <w:spacing w:before="0" w:after="280"/>
        <w:jc w:val="center"/>
      </w:pPr>
      <w:r>
        <w:rPr>
          <w:rFonts w:ascii="Calibri" w:hAnsi="Calibri"/>
          <w:i/>
          <w:color w:val="595959"/>
          <w:sz w:val="22"/>
        </w:rPr>
        <w:t>Thành viên phụ trách: Trần Quốc Khánh | Mô hình: SenseVoice-Small — ASR Đa ngữ (Anh / Trung / Hàn)</w:t>
      </w:r>
    </w:p>
    <w:p>
      <w:pPr>
        <w:keepNext/>
        <w:spacing w:before="280" w:after="80"/>
      </w:pPr>
      <w:r>
        <w:rPr>
          <w:rFonts w:ascii="Calibri" w:hAnsi="Calibri"/>
          <w:b/>
          <w:color w:val="1F497D"/>
          <w:sz w:val="28"/>
        </w:rPr>
        <w:t>1. Kiến trúc Mô hình SenseVoice-Small</w:t>
      </w:r>
    </w:p>
    <w:p>
      <w:pPr>
        <w:spacing w:before="0" w:after="80" w:line="276" w:lineRule="auto"/>
      </w:pPr>
      <w:r>
        <w:rPr>
          <w:rFonts w:ascii="Calibri" w:hAnsi="Calibri"/>
          <w:i w:val="0"/>
          <w:color w:val="333333"/>
          <w:sz w:val="21"/>
        </w:rPr>
        <w:t>SenseVoice-Small là mô hình nhận diện giọng nói đa ngữ gọn nhẹ phát triển bởi Alibaba FunASR (dung lượng gốc ~893 MB PyTorch FP32 checkpoint). Khác với các kiến trúc Autoregressive tuần tự như Whisper hay RNN-T (vốn sinh từng từ lặp lại và dễ gây nghẽn băng thông), SenseVoice-Small được thiết kế dựa trên nguyên lý Non-Autoregressive (NAR) kết hợp CTC Loss, cho phép giải mã toàn bộ câu nói trong duy nhất một lượt truyền thẳng (single-pass forward).</w:t>
      </w:r>
    </w:p>
    <w:p>
      <w:pPr>
        <w:spacing w:before="0" w:after="80" w:line="276" w:lineRule="auto"/>
      </w:pPr>
      <w:r>
        <w:rPr>
          <w:rFonts w:ascii="Calibri" w:hAnsi="Calibri"/>
          <w:i w:val="0"/>
          <w:color w:val="333333"/>
          <w:sz w:val="21"/>
        </w:rPr>
        <w:t>Kiến trúc mô hình gồm 4 khối thành phần kỹ thuật chính:</w:t>
      </w:r>
    </w:p>
    <w:p>
      <w:pPr>
        <w:pStyle w:val="ListBullet"/>
        <w:spacing w:before="0" w:after="60" w:line="276" w:lineRule="auto"/>
      </w:pPr>
      <w:r>
        <w:rPr>
          <w:rFonts w:ascii="Calibri" w:hAnsi="Calibri"/>
          <w:b/>
          <w:color w:val="1E1E1E"/>
          <w:sz w:val="21"/>
        </w:rPr>
        <w:t xml:space="preserve">• Khối WavFrontend: </w:t>
      </w:r>
      <w:r>
        <w:rPr>
          <w:rFonts w:ascii="Calibri" w:hAnsi="Calibri"/>
          <w:color w:val="333333"/>
          <w:sz w:val="21"/>
        </w:rPr>
        <w:t xml:space="preserve"> Đảm nhận vai trò chuyển đổi âm thanh sóng thô 16kHz thành ma trận đặc trưng Log-Mel Fbank 80 chiều. Quy trình chuẩn Kaldi bao gồm: nhân hệ số biên độ (upsample 2^15), chia khung (framing 25ms, bước nhảy 10ms), tiền nhấn (pre-emphasis 0.97), áp cửa sổ Hamming, biến đổi phổ Fourier STFT (512 điểm), lọc Mel, Log compression, ghép khung LFR (stack 7 khung liên tiếp, bước nhảy 6 khung để tạo đặc trưng 560 chiều) và chuẩn hoá CMVN.</w:t>
      </w:r>
    </w:p>
    <w:p>
      <w:pPr>
        <w:pStyle w:val="ListBullet"/>
        <w:spacing w:before="0" w:after="60" w:line="276" w:lineRule="auto"/>
      </w:pPr>
      <w:r>
        <w:rPr>
          <w:rFonts w:ascii="Calibri" w:hAnsi="Calibri"/>
          <w:b/>
          <w:color w:val="1E1E1E"/>
          <w:sz w:val="21"/>
        </w:rPr>
        <w:t xml:space="preserve">• Khối Encoder: </w:t>
      </w:r>
      <w:r>
        <w:rPr>
          <w:rFonts w:ascii="Calibri" w:hAnsi="Calibri"/>
          <w:color w:val="333333"/>
          <w:sz w:val="21"/>
        </w:rPr>
        <w:t xml:space="preserve"> Bao gồm 50 lớp Transformer nén sâu (Deep Compressed Transformer Layers). Kiến trúc nén này cho phép mô hình trích xuất được không gian ngữ âm sâu nhưng giữ số lượng tham số ở mức rất thấp so với Whisper-Small (~240M) hay Qwen3-ASR (~600M).</w:t>
      </w:r>
    </w:p>
    <w:p>
      <w:pPr>
        <w:pStyle w:val="ListBullet"/>
        <w:spacing w:before="0" w:after="60" w:line="276" w:lineRule="auto"/>
      </w:pPr>
      <w:r>
        <w:rPr>
          <w:rFonts w:ascii="Calibri" w:hAnsi="Calibri"/>
          <w:b/>
          <w:color w:val="1E1E1E"/>
          <w:sz w:val="21"/>
        </w:rPr>
        <w:t xml:space="preserve">• Khối CTC Projection Head: </w:t>
      </w:r>
      <w:r>
        <w:rPr>
          <w:rFonts w:ascii="Calibri" w:hAnsi="Calibri"/>
          <w:color w:val="333333"/>
          <w:sz w:val="21"/>
        </w:rPr>
        <w:t xml:space="preserve"> Ánh xạ vector đặc trưng ẩn sang không gian 25.055 token từ vựng và sử dụng cơ chế Argmax tĩnh để chọn ra chuỗi nhãn có xác suất cực đại mà không cần dùng beam search phức tạp.</w:t>
      </w:r>
    </w:p>
    <w:p>
      <w:pPr>
        <w:pStyle w:val="ListBullet"/>
        <w:spacing w:before="0" w:after="60" w:line="276" w:lineRule="auto"/>
      </w:pPr>
      <w:r>
        <w:rPr>
          <w:rFonts w:ascii="Calibri" w:hAnsi="Calibri"/>
          <w:b/>
          <w:color w:val="1E1E1E"/>
          <w:sz w:val="21"/>
        </w:rPr>
        <w:t xml:space="preserve">• Khối Module mở rộng: </w:t>
      </w:r>
      <w:r>
        <w:rPr>
          <w:rFonts w:ascii="Calibri" w:hAnsi="Calibri"/>
          <w:color w:val="333333"/>
          <w:sz w:val="21"/>
        </w:rPr>
        <w:t xml:space="preserve"> Tích hợp sẵn bộ chuẩn hoá số và thực thể ITN (Inverse Text Normalization) cùng khả năng tự động nhận diện ngôn ngữ nói (Language Identification - LID).</w:t>
      </w:r>
    </w:p>
    <w:p>
      <w:pPr>
        <w:keepNext/>
        <w:spacing w:before="280" w:after="80"/>
      </w:pPr>
      <w:r>
        <w:rPr>
          <w:rFonts w:ascii="Calibri" w:hAnsi="Calibri"/>
          <w:b/>
          <w:color w:val="1F497D"/>
          <w:sz w:val="28"/>
        </w:rPr>
        <w:t>2. Hướng Deploy &amp; Công thức Lượng tử hoá (Quantization)</w:t>
      </w:r>
    </w:p>
    <w:p>
      <w:pPr>
        <w:pStyle w:val="ListBullet"/>
        <w:spacing w:before="0" w:after="60" w:line="276" w:lineRule="auto"/>
      </w:pPr>
      <w:r>
        <w:rPr>
          <w:rFonts w:ascii="Calibri" w:hAnsi="Calibri"/>
          <w:b/>
          <w:color w:val="1E1E1E"/>
          <w:sz w:val="21"/>
        </w:rPr>
        <w:t xml:space="preserve">• Nền tảng thực thi phần cứng mục tiêu: </w:t>
      </w:r>
      <w:r>
        <w:rPr>
          <w:rFonts w:ascii="Calibri" w:hAnsi="Calibri"/>
          <w:color w:val="333333"/>
          <w:sz w:val="21"/>
        </w:rPr>
        <w:t xml:space="preserve"> Qualcomm Dragonwing IQ-9075 EVK, trang bị SoC chứa bộ xử lý vi kiến trúc Hexagon NPU thế hệ v73 với năng lực tính toán cực đại 100 dense TOPS, bộ nhớ 36GB LPDDR5 tốc độ cao.</w:t>
      </w:r>
    </w:p>
    <w:p>
      <w:pPr>
        <w:pStyle w:val="ListBullet"/>
        <w:spacing w:before="0" w:after="60" w:line="276" w:lineRule="auto"/>
      </w:pPr>
      <w:r>
        <w:rPr>
          <w:rFonts w:ascii="Calibri" w:hAnsi="Calibri"/>
          <w:b/>
          <w:color w:val="1E1E1E"/>
          <w:sz w:val="21"/>
        </w:rPr>
        <w:t xml:space="preserve">• Công thức lượng tử hoá: </w:t>
      </w:r>
      <w:r>
        <w:rPr>
          <w:rFonts w:ascii="Calibri" w:hAnsi="Calibri"/>
          <w:color w:val="333333"/>
          <w:sz w:val="21"/>
        </w:rPr>
        <w:t xml:space="preserve"> Dự án áp dụng công thức Mixed-Precision W8A16 (Trọng số nén xuống INT8, Kích hoạt giữ nguyên INT16). Qua các nghiên cứu đối chứng, lượng tử hoá thuần INT8 (W8A8) gây suy thoái độ chính xác rất nghiêm trọng ở các lớp Attention sâu của kiến trúc ASR. Lựa chọn W8A16 giúp kích thước trọng số nén giảm 4 lần trên bộ nhớ nhưng vẫn bảo toàn tuyệt đối dải động biên độ tín hiệu qua các tầng Attention và Softmax.</w:t>
      </w:r>
    </w:p>
    <w:p>
      <w:pPr>
        <w:pStyle w:val="ListBullet"/>
        <w:spacing w:before="0" w:after="60" w:line="276" w:lineRule="auto"/>
      </w:pPr>
      <w:r>
        <w:rPr>
          <w:rFonts w:ascii="Calibri" w:hAnsi="Calibri"/>
          <w:b/>
          <w:color w:val="1E1E1E"/>
          <w:sz w:val="21"/>
        </w:rPr>
        <w:t xml:space="preserve">• Đột phá thiết kế End-to-End (E2E) 100% NPU: </w:t>
      </w:r>
      <w:r>
        <w:rPr>
          <w:rFonts w:ascii="Calibri" w:hAnsi="Calibri"/>
          <w:color w:val="333333"/>
          <w:sz w:val="21"/>
        </w:rPr>
        <w:t xml:space="preserve"> Thông thường, các giải pháp Edge ASR bị phân mảnh: phần trích xuất Fbank phải chạy trên CPU bằng Python/C++ rồi mới truyền mảng đặc trưng sang NPU, gây nghẽn băng thông truyền tải dữ liệu (I/O latency) và tiêu hao CPU. Nhóm đã thực hiện đột phá kỹ thuật: gom trọn vẹn toàn bộ quy trình từ sóng âm WAV thô (float32) qua WavFrontend, Encoder đến CTC Argmax vào duy nhất một đồ thị ONNX tĩnh kích thước [1, 464000]. Nhờ đó, 100.0% luồng tính toán được nạp thẳng lên Hexagon NPU, CPU hoàn toàn không can thiệp.</w:t>
      </w:r>
    </w:p>
    <w:p>
      <w:pPr>
        <w:keepNext/>
        <w:spacing w:before="280" w:after="80"/>
      </w:pPr>
      <w:r>
        <w:rPr>
          <w:rFonts w:ascii="Calibri" w:hAnsi="Calibri"/>
          <w:b/>
          <w:color w:val="1F497D"/>
          <w:sz w:val="28"/>
        </w:rPr>
        <w:t>3. Các tệp mã nguồn triển khai (Pipeline Files)</w:t>
      </w:r>
    </w:p>
    <w:p>
      <w:pPr>
        <w:spacing w:before="0" w:after="80" w:line="276" w:lineRule="auto"/>
      </w:pPr>
      <w:r>
        <w:rPr>
          <w:rFonts w:ascii="Calibri" w:hAnsi="Calibri"/>
          <w:i w:val="0"/>
          <w:color w:val="333333"/>
          <w:sz w:val="21"/>
        </w:rPr>
        <w:t>Toàn bộ quy trình nén, sửa lỗi đồ thị và submit lên phần cứng được chuẩn hoá thành các tệp mã nguồn trong thư mục src/step1_asr/:</w:t>
      </w:r>
    </w:p>
    <w:tbl>
      <w:tblPr>
        <w:tblW w:type="auto" w:w="0"/>
        <w:jc w:val="center"/>
        <w:tblLook w:firstColumn="1" w:firstRow="1" w:lastColumn="0" w:lastRow="0" w:noHBand="0" w:noVBand="1" w:val="04A0"/>
      </w:tblPr>
      <w:tblGrid>
        <w:gridCol w:w="4320"/>
        <w:gridCol w:w="4320"/>
      </w:tblGrid>
      <w:tr>
        <w:trPr>
          <w:cantSplit/>
          <w:tblHeader/>
        </w:trPr>
        <w:tc>
          <w:tcPr>
            <w:tcW w:type="dxa" w:w="3600"/>
            <w:shd w:val="clear" w:color="auto" w:fill="1F497D"/>
            <w:tcMar>
              <w:top w:w="120" w:type="dxa"/>
              <w:bottom w:w="120" w:type="dxa"/>
              <w:left w:w="150" w:type="dxa"/>
              <w:right w:w="150" w:type="dxa"/>
            </w:tcMar>
          </w:tcPr>
          <w:p>
            <w:pPr>
              <w:jc w:val="center"/>
            </w:pPr>
            <w:r>
              <w:rPr>
                <w:b/>
                <w:color w:val="FFFFFF"/>
                <w:sz w:val="20"/>
              </w:rPr>
              <w:t>Tệp mã nguồn</w:t>
            </w:r>
          </w:p>
        </w:tc>
        <w:tc>
          <w:tcPr>
            <w:tcW w:type="dxa" w:w="6192"/>
            <w:shd w:val="clear" w:color="auto" w:fill="1F497D"/>
            <w:tcMar>
              <w:top w:w="120" w:type="dxa"/>
              <w:bottom w:w="120" w:type="dxa"/>
              <w:left w:w="150" w:type="dxa"/>
              <w:right w:w="150" w:type="dxa"/>
            </w:tcMar>
          </w:tcPr>
          <w:p>
            <w:pPr>
              <w:jc w:val="center"/>
            </w:pPr>
            <w:r>
              <w:rPr>
                <w:b/>
                <w:color w:val="FFFFFF"/>
                <w:sz w:val="20"/>
              </w:rPr>
              <w:t>Vai trò &amp; Chức năng kỹ thuật</w:t>
            </w:r>
          </w:p>
        </w:tc>
      </w:tr>
      <w:tr>
        <w:trPr>
          <w:cantSplit/>
        </w:trPr>
        <w:tc>
          <w:tcPr>
            <w:tcW w:type="dxa" w:w="3600"/>
            <w:shd w:val="clear" w:color="auto" w:fill="F2F5F9"/>
            <w:tcMar>
              <w:top w:w="100" w:type="dxa"/>
              <w:bottom w:w="100" w:type="dxa"/>
              <w:left w:w="150" w:type="dxa"/>
              <w:right w:w="150" w:type="dxa"/>
            </w:tcMar>
          </w:tcPr>
          <w:p>
            <w:r>
              <w:rPr>
                <w:color w:val="333333"/>
                <w:sz w:val="19"/>
              </w:rPr>
              <w:t>step4_s1_export_e2e_onnx.py</w:t>
            </w:r>
          </w:p>
        </w:tc>
        <w:tc>
          <w:tcPr>
            <w:tcW w:type="dxa" w:w="6192"/>
            <w:shd w:val="clear" w:color="auto" w:fill="F2F5F9"/>
            <w:tcMar>
              <w:top w:w="100" w:type="dxa"/>
              <w:bottom w:w="100" w:type="dxa"/>
              <w:left w:w="150" w:type="dxa"/>
              <w:right w:w="150" w:type="dxa"/>
            </w:tcMar>
          </w:tcPr>
          <w:p>
            <w:r>
              <w:rPr>
                <w:color w:val="333333"/>
                <w:sz w:val="19"/>
              </w:rPr>
              <w:t>Xuất đồ thị E2E hợp nhất từ sóng âm WAV thô đến CTC Argmax với kích thước tĩnh [1, 464000], nhúng ma trận DFT tĩnh thay cho FFT.</w:t>
            </w:r>
          </w:p>
        </w:tc>
      </w:tr>
      <w:tr>
        <w:trPr>
          <w:cantSplit/>
        </w:trPr>
        <w:tc>
          <w:tcPr>
            <w:tcW w:type="dxa" w:w="3600"/>
            <w:shd w:val="clear" w:color="auto" w:fill="FFFFFF"/>
            <w:tcMar>
              <w:top w:w="100" w:type="dxa"/>
              <w:bottom w:w="100" w:type="dxa"/>
              <w:left w:w="150" w:type="dxa"/>
              <w:right w:w="150" w:type="dxa"/>
            </w:tcMar>
          </w:tcPr>
          <w:p>
            <w:r>
              <w:rPr>
                <w:color w:val="333333"/>
                <w:sz w:val="19"/>
              </w:rPr>
              <w:t>step4_s1_patch_mask.py</w:t>
            </w:r>
          </w:p>
        </w:tc>
        <w:tc>
          <w:tcPr>
            <w:tcW w:type="dxa" w:w="6192"/>
            <w:shd w:val="clear" w:color="auto" w:fill="FFFFFF"/>
            <w:tcMar>
              <w:top w:w="100" w:type="dxa"/>
              <w:bottom w:w="100" w:type="dxa"/>
              <w:left w:w="150" w:type="dxa"/>
              <w:right w:w="150" w:type="dxa"/>
            </w:tcMar>
          </w:tcPr>
          <w:p>
            <w:r>
              <w:rPr>
                <w:color w:val="333333"/>
                <w:sz w:val="19"/>
              </w:rPr>
              <w:t>Sử dụng onnx-graphsurgeon vá đồ thị ONNX, tiêm mảng zero-bias cho các node Conv thiếu bias nhằm ngăn chặn crash trình biên dịch QAIRT.</w:t>
            </w:r>
          </w:p>
        </w:tc>
      </w:tr>
      <w:tr>
        <w:trPr>
          <w:cantSplit/>
        </w:trPr>
        <w:tc>
          <w:tcPr>
            <w:tcW w:type="dxa" w:w="3600"/>
            <w:shd w:val="clear" w:color="auto" w:fill="F2F5F9"/>
            <w:tcMar>
              <w:top w:w="100" w:type="dxa"/>
              <w:bottom w:w="100" w:type="dxa"/>
              <w:left w:w="150" w:type="dxa"/>
              <w:right w:w="150" w:type="dxa"/>
            </w:tcMar>
          </w:tcPr>
          <w:p>
            <w:r>
              <w:rPr>
                <w:color w:val="333333"/>
                <w:sz w:val="19"/>
              </w:rPr>
              <w:t>step4_s1_prepare_calib.py</w:t>
            </w:r>
          </w:p>
        </w:tc>
        <w:tc>
          <w:tcPr>
            <w:tcW w:type="dxa" w:w="6192"/>
            <w:shd w:val="clear" w:color="auto" w:fill="F2F5F9"/>
            <w:tcMar>
              <w:top w:w="100" w:type="dxa"/>
              <w:bottom w:w="100" w:type="dxa"/>
              <w:left w:w="150" w:type="dxa"/>
              <w:right w:w="150" w:type="dxa"/>
            </w:tcMar>
          </w:tcPr>
          <w:p>
            <w:r>
              <w:rPr>
                <w:color w:val="333333"/>
                <w:sz w:val="19"/>
              </w:rPr>
              <w:t>Chuẩn bị 15 mẫu dữ liệu âm thanh đa ngữ đại diện để hiệu chỉnh dải động cho thuật toán lượng tử hoá W8A16 trên AI Hub.</w:t>
            </w:r>
          </w:p>
        </w:tc>
      </w:tr>
      <w:tr>
        <w:trPr>
          <w:cantSplit/>
        </w:trPr>
        <w:tc>
          <w:tcPr>
            <w:tcW w:type="dxa" w:w="3600"/>
            <w:shd w:val="clear" w:color="auto" w:fill="FFFFFF"/>
            <w:tcMar>
              <w:top w:w="100" w:type="dxa"/>
              <w:bottom w:w="100" w:type="dxa"/>
              <w:left w:w="150" w:type="dxa"/>
              <w:right w:w="150" w:type="dxa"/>
            </w:tcMar>
          </w:tcPr>
          <w:p>
            <w:r>
              <w:rPr>
                <w:color w:val="333333"/>
                <w:sz w:val="19"/>
              </w:rPr>
              <w:t>step4_s1_qai_hub_submit_e2e.py</w:t>
            </w:r>
          </w:p>
        </w:tc>
        <w:tc>
          <w:tcPr>
            <w:tcW w:type="dxa" w:w="6192"/>
            <w:shd w:val="clear" w:color="auto" w:fill="FFFFFF"/>
            <w:tcMar>
              <w:top w:w="100" w:type="dxa"/>
              <w:bottom w:w="100" w:type="dxa"/>
              <w:left w:w="150" w:type="dxa"/>
              <w:right w:w="150" w:type="dxa"/>
            </w:tcMar>
          </w:tcPr>
          <w:p>
            <w:r>
              <w:rPr>
                <w:color w:val="333333"/>
                <w:sz w:val="19"/>
              </w:rPr>
              <w:t>Tự động tải đồ thị đã vá lên Qualcomm AI Hub, khởi tạo job Quantize W8A16 và Compile sang định dạng QNN binary.</w:t>
            </w:r>
          </w:p>
        </w:tc>
      </w:tr>
      <w:tr>
        <w:trPr>
          <w:cantSplit/>
        </w:trPr>
        <w:tc>
          <w:tcPr>
            <w:tcW w:type="dxa" w:w="3600"/>
            <w:shd w:val="clear" w:color="auto" w:fill="F2F5F9"/>
            <w:tcMar>
              <w:top w:w="100" w:type="dxa"/>
              <w:bottom w:w="100" w:type="dxa"/>
              <w:left w:w="150" w:type="dxa"/>
              <w:right w:w="150" w:type="dxa"/>
            </w:tcMar>
          </w:tcPr>
          <w:p>
            <w:r>
              <w:rPr>
                <w:color w:val="333333"/>
                <w:sz w:val="19"/>
              </w:rPr>
              <w:t>step4_s1_profile_e2e.py</w:t>
            </w:r>
          </w:p>
        </w:tc>
        <w:tc>
          <w:tcPr>
            <w:tcW w:type="dxa" w:w="6192"/>
            <w:shd w:val="clear" w:color="auto" w:fill="F2F5F9"/>
            <w:tcMar>
              <w:top w:w="100" w:type="dxa"/>
              <w:bottom w:w="100" w:type="dxa"/>
              <w:left w:w="150" w:type="dxa"/>
              <w:right w:w="150" w:type="dxa"/>
            </w:tcMar>
          </w:tcPr>
          <w:p>
            <w:r>
              <w:rPr>
                <w:color w:val="333333"/>
                <w:sz w:val="19"/>
              </w:rPr>
              <w:t>Gửi lệnh đo kiểm hiệu năng (profiling) trực tiếp trên thiết bị phần cứng thật Dragonwing IQ-9075 EVK qua Cloud Device Farm.</w:t>
            </w:r>
          </w:p>
        </w:tc>
      </w:tr>
      <w:tr>
        <w:trPr>
          <w:cantSplit/>
        </w:trPr>
        <w:tc>
          <w:tcPr>
            <w:tcW w:type="dxa" w:w="3600"/>
            <w:shd w:val="clear" w:color="auto" w:fill="FFFFFF"/>
            <w:tcMar>
              <w:top w:w="100" w:type="dxa"/>
              <w:bottom w:w="100" w:type="dxa"/>
              <w:left w:w="150" w:type="dxa"/>
              <w:right w:w="150" w:type="dxa"/>
            </w:tcMar>
          </w:tcPr>
          <w:p>
            <w:r>
              <w:rPr>
                <w:color w:val="333333"/>
                <w:sz w:val="19"/>
              </w:rPr>
              <w:t>step4_s1_verify_w8a16.py</w:t>
            </w:r>
          </w:p>
        </w:tc>
        <w:tc>
          <w:tcPr>
            <w:tcW w:type="dxa" w:w="6192"/>
            <w:shd w:val="clear" w:color="auto" w:fill="FFFFFF"/>
            <w:tcMar>
              <w:top w:w="100" w:type="dxa"/>
              <w:bottom w:w="100" w:type="dxa"/>
              <w:left w:w="150" w:type="dxa"/>
              <w:right w:w="150" w:type="dxa"/>
            </w:tcMar>
          </w:tcPr>
          <w:p>
            <w:r>
              <w:rPr>
                <w:color w:val="333333"/>
                <w:sz w:val="19"/>
              </w:rPr>
              <w:t>Đo lường mức độ sai lệch toán học giữa mô hình gốc FP32 và bản nén W8A16 (Cosine Similarity threshold &gt;= 0.95).</w:t>
            </w:r>
          </w:p>
        </w:tc>
      </w:tr>
      <w:tr>
        <w:trPr>
          <w:cantSplit/>
        </w:trPr>
        <w:tc>
          <w:tcPr>
            <w:tcW w:type="dxa" w:w="3600"/>
            <w:shd w:val="clear" w:color="auto" w:fill="F2F5F9"/>
            <w:tcMar>
              <w:top w:w="100" w:type="dxa"/>
              <w:bottom w:w="100" w:type="dxa"/>
              <w:left w:w="150" w:type="dxa"/>
              <w:right w:w="150" w:type="dxa"/>
            </w:tcMar>
          </w:tcPr>
          <w:p>
            <w:r>
              <w:rPr>
                <w:color w:val="333333"/>
                <w:sz w:val="19"/>
              </w:rPr>
              <w:t>submit_full_workbench_suite.py</w:t>
            </w:r>
          </w:p>
        </w:tc>
        <w:tc>
          <w:tcPr>
            <w:tcW w:type="dxa" w:w="6192"/>
            <w:shd w:val="clear" w:color="auto" w:fill="F2F5F9"/>
            <w:tcMar>
              <w:top w:w="100" w:type="dxa"/>
              <w:bottom w:w="100" w:type="dxa"/>
              <w:left w:w="150" w:type="dxa"/>
              <w:right w:w="150" w:type="dxa"/>
            </w:tcMar>
          </w:tcPr>
          <w:p>
            <w:r>
              <w:rPr>
                <w:color w:val="333333"/>
                <w:sz w:val="19"/>
              </w:rPr>
              <w:t>Script tự động hoá submission toàn trình 3 công đoạn Quantize, Compile, Inference lên AI Hub Workbench.</w:t>
            </w:r>
          </w:p>
        </w:tc>
      </w:tr>
      <w:tr>
        <w:trPr>
          <w:cantSplit/>
        </w:trPr>
        <w:tc>
          <w:tcPr>
            <w:tcW w:type="dxa" w:w="3600"/>
            <w:shd w:val="clear" w:color="auto" w:fill="FFFFFF"/>
            <w:tcMar>
              <w:top w:w="100" w:type="dxa"/>
              <w:bottom w:w="100" w:type="dxa"/>
              <w:left w:w="150" w:type="dxa"/>
              <w:right w:w="150" w:type="dxa"/>
            </w:tcMar>
          </w:tcPr>
          <w:p>
            <w:r>
              <w:rPr>
                <w:color w:val="333333"/>
                <w:sz w:val="19"/>
              </w:rPr>
              <w:t>decode_h5_results.py</w:t>
            </w:r>
          </w:p>
        </w:tc>
        <w:tc>
          <w:tcPr>
            <w:tcW w:type="dxa" w:w="6192"/>
            <w:shd w:val="clear" w:color="auto" w:fill="FFFFFF"/>
            <w:tcMar>
              <w:top w:w="100" w:type="dxa"/>
              <w:bottom w:w="100" w:type="dxa"/>
              <w:left w:w="150" w:type="dxa"/>
              <w:right w:w="150" w:type="dxa"/>
            </w:tcMar>
          </w:tcPr>
          <w:p>
            <w:r>
              <w:rPr>
                <w:color w:val="333333"/>
                <w:sz w:val="19"/>
              </w:rPr>
              <w:t>Trích xuất và giải mã tensor token ID từ file HDF5 output của Qualcomm AI Hub (CTC Collapse + SentencePiece).</w:t>
            </w:r>
          </w:p>
        </w:tc>
      </w:tr>
    </w:tbl>
    <w:p>
      <w:pPr>
        <w:keepNext/>
        <w:spacing w:before="280" w:after="80"/>
      </w:pPr>
      <w:r>
        <w:rPr>
          <w:rFonts w:ascii="Calibri" w:hAnsi="Calibri"/>
          <w:b/>
          <w:color w:val="1F497D"/>
          <w:sz w:val="28"/>
        </w:rPr>
        <w:t>4. Khó khăn kỹ thuật gặp phải &amp; Giải pháp xử lý</w:t>
      </w:r>
    </w:p>
    <w:p>
      <w:pPr>
        <w:keepNext/>
        <w:spacing w:before="200" w:after="40"/>
      </w:pPr>
      <w:r>
        <w:rPr>
          <w:rFonts w:ascii="Calibri" w:hAnsi="Calibri"/>
          <w:b/>
          <w:color w:val="4472C4"/>
          <w:sz w:val="24"/>
        </w:rPr>
        <w:t>4.1. Toán tử unfold() động trong chia khung âm thanh (Framing)</w:t>
      </w:r>
    </w:p>
    <w:p>
      <w:pPr>
        <w:pStyle w:val="ListBullet"/>
        <w:spacing w:before="0" w:after="60" w:line="276" w:lineRule="auto"/>
      </w:pPr>
      <w:r>
        <w:rPr>
          <w:rFonts w:ascii="Calibri" w:hAnsi="Calibri"/>
          <w:b/>
          <w:color w:val="1E1E1E"/>
          <w:sz w:val="21"/>
        </w:rPr>
        <w:t xml:space="preserve">• Vấn đề: </w:t>
      </w:r>
      <w:r>
        <w:rPr>
          <w:rFonts w:ascii="Calibri" w:hAnsi="Calibri"/>
          <w:color w:val="333333"/>
          <w:sz w:val="21"/>
        </w:rPr>
        <w:t xml:space="preserve"> NPU Hexagon chỉ chấp nhận các đồ thị tensor có kích thước tĩnh hoàn toàn (Static Shapes). Phép chia khung âm thanh trong FunASR dùng toán tử lát cắt động dạng vòng lặp Python hoặc unfold động, khiến trình biên dịch QNN từ chối.</w:t>
      </w:r>
    </w:p>
    <w:p>
      <w:pPr>
        <w:pStyle w:val="ListBullet"/>
        <w:spacing w:before="0" w:after="60" w:line="276" w:lineRule="auto"/>
      </w:pPr>
      <w:r>
        <w:rPr>
          <w:rFonts w:ascii="Calibri" w:hAnsi="Calibri"/>
          <w:b/>
          <w:color w:val="1E1E1E"/>
          <w:sz w:val="21"/>
        </w:rPr>
        <w:t xml:space="preserve">• Giải pháp: </w:t>
      </w:r>
      <w:r>
        <w:rPr>
          <w:rFonts w:ascii="Calibri" w:hAnsi="Calibri"/>
          <w:color w:val="333333"/>
          <w:sz w:val="21"/>
        </w:rPr>
        <w:t xml:space="preserve"> Tái hiện phép chia khung bằng cách xem waveform 1D như một ảnh 1 kênh [1, 1, T, 1] và áp dụng Conv1D Sliding Window (hoặc F.unfold với kernel=(400,1) và stride=(160,1)), cố định hoàn toàn shape trong đồ thị ONNX.</w:t>
      </w:r>
    </w:p>
    <w:p>
      <w:pPr>
        <w:keepNext/>
        <w:spacing w:before="200" w:after="40"/>
      </w:pPr>
      <w:r>
        <w:rPr>
          <w:rFonts w:ascii="Calibri" w:hAnsi="Calibri"/>
          <w:b/>
          <w:color w:val="4472C4"/>
          <w:sz w:val="24"/>
        </w:rPr>
        <w:t>4.2. Phép biến đổi Fourier phân tích phổ (fft_rfft)</w:t>
      </w:r>
    </w:p>
    <w:p>
      <w:pPr>
        <w:pStyle w:val="ListBullet"/>
        <w:spacing w:before="0" w:after="60" w:line="276" w:lineRule="auto"/>
      </w:pPr>
      <w:r>
        <w:rPr>
          <w:rFonts w:ascii="Calibri" w:hAnsi="Calibri"/>
          <w:b/>
          <w:color w:val="1E1E1E"/>
          <w:sz w:val="21"/>
        </w:rPr>
        <w:t xml:space="preserve">• Vấn đề: </w:t>
      </w:r>
      <w:r>
        <w:rPr>
          <w:rFonts w:ascii="Calibri" w:hAnsi="Calibri"/>
          <w:color w:val="333333"/>
          <w:sz w:val="21"/>
        </w:rPr>
        <w:t xml:space="preserve"> Phép toán torch.fft.rfft khi xuất sang ONNX Opset 17 bị báo lỗi 'aten::fft_rfft to ONNX opset version 17 is not supported', không thể đóng gói vào đồ thị tĩnh.</w:t>
      </w:r>
    </w:p>
    <w:p>
      <w:pPr>
        <w:pStyle w:val="ListBullet"/>
        <w:spacing w:before="0" w:after="60" w:line="276" w:lineRule="auto"/>
      </w:pPr>
      <w:r>
        <w:rPr>
          <w:rFonts w:ascii="Calibri" w:hAnsi="Calibri"/>
          <w:b/>
          <w:color w:val="1E1E1E"/>
          <w:sz w:val="21"/>
        </w:rPr>
        <w:t xml:space="preserve">• Giải pháp: </w:t>
      </w:r>
      <w:r>
        <w:rPr>
          <w:rFonts w:ascii="Calibri" w:hAnsi="Calibri"/>
          <w:color w:val="333333"/>
          <w:sz w:val="21"/>
        </w:rPr>
        <w:t xml:space="preserve"> Khởi tạo trước ma trận hệ số Fourier rời rạc (DFT Matrix) kích thước [512, 257] gồm phần thực và phần ảo tách biệt. Lưu ma trận này dưới dạng trọng số hằng số (baked constant buffers) trong ONNX và thay thế phép biến đổi Fourier bằng hai phép nhân ma trận song song torch.matmul(padded, dft_real) và torch.matmul(padded, dft_imag). Phép nhân ma trận là toán tử được phần cứng Hexagon NPU tối ưu hoá tốc độ cao nhất.</w:t>
      </w:r>
    </w:p>
    <w:p>
      <w:pPr>
        <w:keepNext/>
        <w:spacing w:before="200" w:after="40"/>
      </w:pPr>
      <w:r>
        <w:rPr>
          <w:rFonts w:ascii="Calibri" w:hAnsi="Calibri"/>
          <w:b/>
          <w:color w:val="4472C4"/>
          <w:sz w:val="24"/>
        </w:rPr>
        <w:t>4.3. Trình biên dịch QAIRT bị crash do thiếu Bias ở các node Conv</w:t>
      </w:r>
    </w:p>
    <w:p>
      <w:pPr>
        <w:pStyle w:val="ListBullet"/>
        <w:spacing w:before="0" w:after="60" w:line="276" w:lineRule="auto"/>
      </w:pPr>
      <w:r>
        <w:rPr>
          <w:rFonts w:ascii="Calibri" w:hAnsi="Calibri"/>
          <w:b/>
          <w:color w:val="1E1E1E"/>
          <w:sz w:val="21"/>
        </w:rPr>
        <w:t xml:space="preserve">• Vấn đề: </w:t>
      </w:r>
      <w:r>
        <w:rPr>
          <w:rFonts w:ascii="Calibri" w:hAnsi="Calibri"/>
          <w:color w:val="333333"/>
          <w:sz w:val="21"/>
        </w:rPr>
        <w:t xml:space="preserve"> Trình biên dịch phần cứng QAIRT/QNN của Qualcomm yêu cầu nghiêm ngặt mọi toán tử Convolution 1D/2D phải có đầy đủ 3 đầu vào (Input, Weight, Bias). Trong khi đó, một số tầng Conv trong SenseVoice được huấn luyện với bias=False, khiến trình biên dịch gặp ngoại lệ và văng tiến trình.</w:t>
      </w:r>
    </w:p>
    <w:p>
      <w:pPr>
        <w:pStyle w:val="ListBullet"/>
        <w:spacing w:before="0" w:after="60" w:line="276" w:lineRule="auto"/>
      </w:pPr>
      <w:r>
        <w:rPr>
          <w:rFonts w:ascii="Calibri" w:hAnsi="Calibri"/>
          <w:b/>
          <w:color w:val="1E1E1E"/>
          <w:sz w:val="21"/>
        </w:rPr>
        <w:t xml:space="preserve">• Giải pháp: </w:t>
      </w:r>
      <w:r>
        <w:rPr>
          <w:rFonts w:ascii="Calibri" w:hAnsi="Calibri"/>
          <w:color w:val="333333"/>
          <w:sz w:val="21"/>
        </w:rPr>
        <w:t xml:space="preserve"> Viết kịch bản Graph Surgery qua onnx-graphsurgeon, tự động quét toàn bộ đồ thị, phát hiện các node Conv khuyết bias và tiêm một tensor mảng 0 (zero-bias initializer) vào đầu vào thứ 3. Kỹ thuật này giúp mô hình vượt qua khâu kiểm duyệt cú pháp của QAIRT 100% mà không làm sai lệch trọng số.</w:t>
      </w:r>
    </w:p>
    <w:p>
      <w:pPr>
        <w:keepNext/>
        <w:spacing w:before="200" w:after="40"/>
      </w:pPr>
      <w:r>
        <w:rPr>
          <w:rFonts w:ascii="Calibri" w:hAnsi="Calibri"/>
          <w:b/>
          <w:color w:val="4472C4"/>
          <w:sz w:val="24"/>
        </w:rPr>
        <w:t>4.4. Sai lệch kích thước mảng Positional Encoding (562 vs 560)</w:t>
      </w:r>
    </w:p>
    <w:p>
      <w:pPr>
        <w:pStyle w:val="ListBullet"/>
        <w:spacing w:before="0" w:after="60" w:line="276" w:lineRule="auto"/>
      </w:pPr>
      <w:r>
        <w:rPr>
          <w:rFonts w:ascii="Calibri" w:hAnsi="Calibri"/>
          <w:b/>
          <w:color w:val="1E1E1E"/>
          <w:sz w:val="21"/>
        </w:rPr>
        <w:t xml:space="preserve">• Vấn đề: </w:t>
      </w:r>
      <w:r>
        <w:rPr>
          <w:rFonts w:ascii="Calibri" w:hAnsi="Calibri"/>
          <w:color w:val="333333"/>
          <w:sz w:val="21"/>
        </w:rPr>
        <w:t xml:space="preserve"> Trong quá trình vá đồ thị tĩnh, mảng mã hoá vị trí (Positional Encoding) bị chênh lệch 2 đơn vị chiều dài so với số khung thời gian thực tế, gây crash lúc lượng tử hoá.</w:t>
      </w:r>
    </w:p>
    <w:p>
      <w:pPr>
        <w:pStyle w:val="ListBullet"/>
        <w:spacing w:before="0" w:after="60" w:line="276" w:lineRule="auto"/>
      </w:pPr>
      <w:r>
        <w:rPr>
          <w:rFonts w:ascii="Calibri" w:hAnsi="Calibri"/>
          <w:b/>
          <w:color w:val="1E1E1E"/>
          <w:sz w:val="21"/>
        </w:rPr>
        <w:t xml:space="preserve">• Giải pháp: </w:t>
      </w:r>
      <w:r>
        <w:rPr>
          <w:rFonts w:ascii="Calibri" w:hAnsi="Calibri"/>
          <w:color w:val="333333"/>
          <w:sz w:val="21"/>
        </w:rPr>
        <w:t xml:space="preserve"> Trích xuất ma trận PE chuẩn từ checkpoint FunASR gốc, cắt gọt chính xác về kích thước static [1, 500, 560] và ghi đè trực tiếp vào tensor khởi tạo của đồ thị ONNX.</w:t>
      </w:r>
    </w:p>
    <w:p>
      <w:pPr>
        <w:keepNext/>
        <w:spacing w:before="280" w:after="80"/>
      </w:pPr>
      <w:r>
        <w:rPr>
          <w:rFonts w:ascii="Calibri" w:hAnsi="Calibri"/>
          <w:b/>
          <w:color w:val="1F497D"/>
          <w:sz w:val="28"/>
        </w:rPr>
        <w:t>5. Kết quả thực nghiệm đo đạc trên phần cứng</w:t>
      </w:r>
    </w:p>
    <w:p>
      <w:pPr>
        <w:spacing w:before="0" w:after="80" w:line="276" w:lineRule="auto"/>
      </w:pPr>
      <w:r>
        <w:rPr>
          <w:rFonts w:ascii="Calibri" w:hAnsi="Calibri"/>
          <w:i w:val="0"/>
          <w:color w:val="333333"/>
          <w:sz w:val="21"/>
        </w:rPr>
        <w:t>Toàn bộ bộ công cụ mô hình SenseVoice-Small End-to-End đã được submit và kiểm chứng thành công trọn vẹn 100% trên nền tảng Qualcomm AI Hub Workbench với phần cứng vật lý Dragonwing IQ-9075 EVK:</w:t>
      </w:r>
    </w:p>
    <w:p>
      <w:pPr>
        <w:keepNext/>
        <w:spacing w:before="200" w:after="40"/>
      </w:pPr>
      <w:r>
        <w:rPr>
          <w:rFonts w:ascii="Calibri" w:hAnsi="Calibri"/>
          <w:b/>
          <w:color w:val="4472C4"/>
          <w:sz w:val="24"/>
        </w:rPr>
        <w:t>5.1. Bảng tổng hợp các phiên làm việc (Jobs) trên Qualcomm AI Hub</w:t>
      </w:r>
    </w:p>
    <w:tbl>
      <w:tblPr>
        <w:tblW w:type="auto" w:w="0"/>
        <w:jc w:val="center"/>
        <w:tblLook w:firstColumn="1" w:firstRow="1" w:lastColumn="0" w:lastRow="0" w:noHBand="0" w:noVBand="1" w:val="04A0"/>
      </w:tblPr>
      <w:tblGrid>
        <w:gridCol w:w="2160"/>
        <w:gridCol w:w="2160"/>
        <w:gridCol w:w="2160"/>
        <w:gridCol w:w="2160"/>
      </w:tblGrid>
      <w:tr>
        <w:trPr>
          <w:cantSplit/>
          <w:tblHeader/>
        </w:trPr>
        <w:tc>
          <w:tcPr>
            <w:tcW w:type="dxa" w:w="2592"/>
            <w:shd w:val="clear" w:color="auto" w:fill="1F497D"/>
            <w:tcMar>
              <w:top w:w="120" w:type="dxa"/>
              <w:bottom w:w="120" w:type="dxa"/>
              <w:left w:w="150" w:type="dxa"/>
              <w:right w:w="150" w:type="dxa"/>
            </w:tcMar>
          </w:tcPr>
          <w:p>
            <w:pPr>
              <w:jc w:val="center"/>
            </w:pPr>
            <w:r>
              <w:rPr>
                <w:b/>
                <w:color w:val="FFFFFF"/>
                <w:sz w:val="20"/>
              </w:rPr>
              <w:t>Phiên làm việc (Job Type)</w:t>
            </w:r>
          </w:p>
        </w:tc>
        <w:tc>
          <w:tcPr>
            <w:tcW w:type="dxa" w:w="1728"/>
            <w:shd w:val="clear" w:color="auto" w:fill="1F497D"/>
            <w:tcMar>
              <w:top w:w="120" w:type="dxa"/>
              <w:bottom w:w="120" w:type="dxa"/>
              <w:left w:w="150" w:type="dxa"/>
              <w:right w:w="150" w:type="dxa"/>
            </w:tcMar>
          </w:tcPr>
          <w:p>
            <w:pPr>
              <w:jc w:val="center"/>
            </w:pPr>
            <w:r>
              <w:rPr>
                <w:b/>
                <w:color w:val="FFFFFF"/>
                <w:sz w:val="20"/>
              </w:rPr>
              <w:t>Mã định danh (Job ID)</w:t>
            </w:r>
          </w:p>
        </w:tc>
        <w:tc>
          <w:tcPr>
            <w:tcW w:type="dxa" w:w="1584"/>
            <w:shd w:val="clear" w:color="auto" w:fill="1F497D"/>
            <w:tcMar>
              <w:top w:w="120" w:type="dxa"/>
              <w:bottom w:w="120" w:type="dxa"/>
              <w:left w:w="150" w:type="dxa"/>
              <w:right w:w="150" w:type="dxa"/>
            </w:tcMar>
          </w:tcPr>
          <w:p>
            <w:pPr>
              <w:jc w:val="center"/>
            </w:pPr>
            <w:r>
              <w:rPr>
                <w:b/>
                <w:color w:val="FFFFFF"/>
                <w:sz w:val="20"/>
              </w:rPr>
              <w:t>Trạng thái</w:t>
            </w:r>
          </w:p>
        </w:tc>
        <w:tc>
          <w:tcPr>
            <w:tcW w:type="dxa" w:w="3888"/>
            <w:shd w:val="clear" w:color="auto" w:fill="1F497D"/>
            <w:tcMar>
              <w:top w:w="120" w:type="dxa"/>
              <w:bottom w:w="120" w:type="dxa"/>
              <w:left w:w="150" w:type="dxa"/>
              <w:right w:w="150" w:type="dxa"/>
            </w:tcMar>
          </w:tcPr>
          <w:p>
            <w:pPr>
              <w:jc w:val="center"/>
            </w:pPr>
            <w:r>
              <w:rPr>
                <w:b/>
                <w:color w:val="FFFFFF"/>
                <w:sz w:val="20"/>
              </w:rPr>
              <w:t>Đầu ra / Ý nghĩa kỹ thuật</w:t>
            </w:r>
          </w:p>
        </w:tc>
      </w:tr>
      <w:tr>
        <w:trPr>
          <w:cantSplit/>
        </w:trPr>
        <w:tc>
          <w:tcPr>
            <w:tcW w:type="dxa" w:w="2592"/>
            <w:shd w:val="clear" w:color="auto" w:fill="F2F5F9"/>
            <w:tcMar>
              <w:top w:w="100" w:type="dxa"/>
              <w:bottom w:w="100" w:type="dxa"/>
              <w:left w:w="150" w:type="dxa"/>
              <w:right w:w="150" w:type="dxa"/>
            </w:tcMar>
          </w:tcPr>
          <w:p>
            <w:r>
              <w:rPr>
                <w:color w:val="333333"/>
                <w:sz w:val="19"/>
              </w:rPr>
              <w:t>QUANTIZE (W8A16)</w:t>
            </w:r>
          </w:p>
        </w:tc>
        <w:tc>
          <w:tcPr>
            <w:tcW w:type="dxa" w:w="1728"/>
            <w:shd w:val="clear" w:color="auto" w:fill="F2F5F9"/>
            <w:tcMar>
              <w:top w:w="100" w:type="dxa"/>
              <w:bottom w:w="100" w:type="dxa"/>
              <w:left w:w="150" w:type="dxa"/>
              <w:right w:w="150" w:type="dxa"/>
            </w:tcMar>
          </w:tcPr>
          <w:p>
            <w:r>
              <w:rPr>
                <w:color w:val="333333"/>
                <w:sz w:val="19"/>
              </w:rPr>
              <w:t>j5m0d3r7g</w:t>
            </w:r>
          </w:p>
        </w:tc>
        <w:tc>
          <w:tcPr>
            <w:tcW w:type="dxa" w:w="1584"/>
            <w:shd w:val="clear" w:color="auto" w:fill="F2F5F9"/>
            <w:tcMar>
              <w:top w:w="100" w:type="dxa"/>
              <w:bottom w:w="100" w:type="dxa"/>
              <w:left w:w="150" w:type="dxa"/>
              <w:right w:w="150" w:type="dxa"/>
            </w:tcMar>
          </w:tcPr>
          <w:p>
            <w:r>
              <w:rPr>
                <w:color w:val="333333"/>
                <w:sz w:val="19"/>
              </w:rPr>
              <w:t>SUCCESS</w:t>
            </w:r>
          </w:p>
        </w:tc>
        <w:tc>
          <w:tcPr>
            <w:tcW w:type="dxa" w:w="3888"/>
            <w:shd w:val="clear" w:color="auto" w:fill="F2F5F9"/>
            <w:tcMar>
              <w:top w:w="100" w:type="dxa"/>
              <w:bottom w:w="100" w:type="dxa"/>
              <w:left w:w="150" w:type="dxa"/>
              <w:right w:w="150" w:type="dxa"/>
            </w:tcMar>
          </w:tcPr>
          <w:p>
            <w:r>
              <w:rPr>
                <w:color w:val="333333"/>
                <w:sz w:val="19"/>
              </w:rPr>
              <w:t>Sinh Model lượng tử hoá W8A16 (Model ID: mqy53w9vn)</w:t>
            </w:r>
          </w:p>
        </w:tc>
      </w:tr>
      <w:tr>
        <w:trPr>
          <w:cantSplit/>
        </w:trPr>
        <w:tc>
          <w:tcPr>
            <w:tcW w:type="dxa" w:w="2592"/>
            <w:shd w:val="clear" w:color="auto" w:fill="FFFFFF"/>
            <w:tcMar>
              <w:top w:w="100" w:type="dxa"/>
              <w:bottom w:w="100" w:type="dxa"/>
              <w:left w:w="150" w:type="dxa"/>
              <w:right w:w="150" w:type="dxa"/>
            </w:tcMar>
          </w:tcPr>
          <w:p>
            <w:r>
              <w:rPr>
                <w:color w:val="333333"/>
                <w:sz w:val="19"/>
              </w:rPr>
              <w:t>COMPILE (QNN DLC)</w:t>
            </w:r>
          </w:p>
        </w:tc>
        <w:tc>
          <w:tcPr>
            <w:tcW w:type="dxa" w:w="1728"/>
            <w:shd w:val="clear" w:color="auto" w:fill="FFFFFF"/>
            <w:tcMar>
              <w:top w:w="100" w:type="dxa"/>
              <w:bottom w:w="100" w:type="dxa"/>
              <w:left w:w="150" w:type="dxa"/>
              <w:right w:w="150" w:type="dxa"/>
            </w:tcMar>
          </w:tcPr>
          <w:p>
            <w:r>
              <w:rPr>
                <w:color w:val="333333"/>
                <w:sz w:val="19"/>
              </w:rPr>
              <w:t>jp1nvelng</w:t>
            </w:r>
          </w:p>
        </w:tc>
        <w:tc>
          <w:tcPr>
            <w:tcW w:type="dxa" w:w="1584"/>
            <w:shd w:val="clear" w:color="auto" w:fill="FFFFFF"/>
            <w:tcMar>
              <w:top w:w="100" w:type="dxa"/>
              <w:bottom w:w="100" w:type="dxa"/>
              <w:left w:w="150" w:type="dxa"/>
              <w:right w:w="150" w:type="dxa"/>
            </w:tcMar>
          </w:tcPr>
          <w:p>
            <w:r>
              <w:rPr>
                <w:color w:val="333333"/>
                <w:sz w:val="19"/>
              </w:rPr>
              <w:t>SUCCESS</w:t>
            </w:r>
          </w:p>
        </w:tc>
        <w:tc>
          <w:tcPr>
            <w:tcW w:type="dxa" w:w="3888"/>
            <w:shd w:val="clear" w:color="auto" w:fill="FFFFFF"/>
            <w:tcMar>
              <w:top w:w="100" w:type="dxa"/>
              <w:bottom w:w="100" w:type="dxa"/>
              <w:left w:w="150" w:type="dxa"/>
              <w:right w:w="150" w:type="dxa"/>
            </w:tcMar>
          </w:tcPr>
          <w:p>
            <w:r>
              <w:rPr>
                <w:color w:val="333333"/>
                <w:sz w:val="19"/>
              </w:rPr>
              <w:t>Biên dịch Context Binary tối ưu hoá cho chip HTP v73 (Model ID: mn1lz82pq)</w:t>
            </w:r>
          </w:p>
        </w:tc>
      </w:tr>
      <w:tr>
        <w:trPr>
          <w:cantSplit/>
        </w:trPr>
        <w:tc>
          <w:tcPr>
            <w:tcW w:type="dxa" w:w="2592"/>
            <w:shd w:val="clear" w:color="auto" w:fill="F2F5F9"/>
            <w:tcMar>
              <w:top w:w="100" w:type="dxa"/>
              <w:bottom w:w="100" w:type="dxa"/>
              <w:left w:w="150" w:type="dxa"/>
              <w:right w:w="150" w:type="dxa"/>
            </w:tcMar>
          </w:tcPr>
          <w:p>
            <w:r>
              <w:rPr>
                <w:color w:val="333333"/>
                <w:sz w:val="19"/>
              </w:rPr>
              <w:t>PROFILE (Silicon)</w:t>
            </w:r>
          </w:p>
        </w:tc>
        <w:tc>
          <w:tcPr>
            <w:tcW w:type="dxa" w:w="1728"/>
            <w:shd w:val="clear" w:color="auto" w:fill="F2F5F9"/>
            <w:tcMar>
              <w:top w:w="100" w:type="dxa"/>
              <w:bottom w:w="100" w:type="dxa"/>
              <w:left w:w="150" w:type="dxa"/>
              <w:right w:w="150" w:type="dxa"/>
            </w:tcMar>
          </w:tcPr>
          <w:p>
            <w:r>
              <w:rPr>
                <w:color w:val="333333"/>
                <w:sz w:val="19"/>
              </w:rPr>
              <w:t>jgddzo6rg</w:t>
            </w:r>
          </w:p>
        </w:tc>
        <w:tc>
          <w:tcPr>
            <w:tcW w:type="dxa" w:w="1584"/>
            <w:shd w:val="clear" w:color="auto" w:fill="F2F5F9"/>
            <w:tcMar>
              <w:top w:w="100" w:type="dxa"/>
              <w:bottom w:w="100" w:type="dxa"/>
              <w:left w:w="150" w:type="dxa"/>
              <w:right w:w="150" w:type="dxa"/>
            </w:tcMar>
          </w:tcPr>
          <w:p>
            <w:r>
              <w:rPr>
                <w:color w:val="333333"/>
                <w:sz w:val="19"/>
              </w:rPr>
              <w:t>SUCCESS</w:t>
            </w:r>
          </w:p>
        </w:tc>
        <w:tc>
          <w:tcPr>
            <w:tcW w:type="dxa" w:w="3888"/>
            <w:shd w:val="clear" w:color="auto" w:fill="F2F5F9"/>
            <w:tcMar>
              <w:top w:w="100" w:type="dxa"/>
              <w:bottom w:w="100" w:type="dxa"/>
              <w:left w:w="150" w:type="dxa"/>
              <w:right w:w="150" w:type="dxa"/>
            </w:tcMar>
          </w:tcPr>
          <w:p>
            <w:r>
              <w:rPr>
                <w:color w:val="333333"/>
                <w:sz w:val="19"/>
              </w:rPr>
              <w:t>Đo kiểm hiệu năng thực tế trên silicon: 189.4 ms, 100% NPU offload</w:t>
            </w:r>
          </w:p>
        </w:tc>
      </w:tr>
      <w:tr>
        <w:trPr>
          <w:cantSplit/>
        </w:trPr>
        <w:tc>
          <w:tcPr>
            <w:tcW w:type="dxa" w:w="2592"/>
            <w:shd w:val="clear" w:color="auto" w:fill="FFFFFF"/>
            <w:tcMar>
              <w:top w:w="100" w:type="dxa"/>
              <w:bottom w:w="100" w:type="dxa"/>
              <w:left w:w="150" w:type="dxa"/>
              <w:right w:w="150" w:type="dxa"/>
            </w:tcMar>
          </w:tcPr>
          <w:p>
            <w:r>
              <w:rPr>
                <w:color w:val="333333"/>
                <w:sz w:val="19"/>
              </w:rPr>
              <w:t>INFERENCE (Silicon)</w:t>
            </w:r>
          </w:p>
        </w:tc>
        <w:tc>
          <w:tcPr>
            <w:tcW w:type="dxa" w:w="1728"/>
            <w:shd w:val="clear" w:color="auto" w:fill="FFFFFF"/>
            <w:tcMar>
              <w:top w:w="100" w:type="dxa"/>
              <w:bottom w:w="100" w:type="dxa"/>
              <w:left w:w="150" w:type="dxa"/>
              <w:right w:w="150" w:type="dxa"/>
            </w:tcMar>
          </w:tcPr>
          <w:p>
            <w:r>
              <w:rPr>
                <w:color w:val="333333"/>
                <w:sz w:val="19"/>
              </w:rPr>
              <w:t>jgly1k0l5</w:t>
            </w:r>
          </w:p>
        </w:tc>
        <w:tc>
          <w:tcPr>
            <w:tcW w:type="dxa" w:w="1584"/>
            <w:shd w:val="clear" w:color="auto" w:fill="FFFFFF"/>
            <w:tcMar>
              <w:top w:w="100" w:type="dxa"/>
              <w:bottom w:w="100" w:type="dxa"/>
              <w:left w:w="150" w:type="dxa"/>
              <w:right w:w="150" w:type="dxa"/>
            </w:tcMar>
          </w:tcPr>
          <w:p>
            <w:r>
              <w:rPr>
                <w:color w:val="333333"/>
                <w:sz w:val="19"/>
              </w:rPr>
              <w:t>SUCCESS</w:t>
            </w:r>
          </w:p>
        </w:tc>
        <w:tc>
          <w:tcPr>
            <w:tcW w:type="dxa" w:w="3888"/>
            <w:shd w:val="clear" w:color="auto" w:fill="FFFFFF"/>
            <w:tcMar>
              <w:top w:w="100" w:type="dxa"/>
              <w:bottom w:w="100" w:type="dxa"/>
              <w:left w:w="150" w:type="dxa"/>
              <w:right w:w="150" w:type="dxa"/>
            </w:tcMar>
          </w:tcPr>
          <w:p>
            <w:r>
              <w:rPr>
                <w:color w:val="333333"/>
                <w:sz w:val="19"/>
              </w:rPr>
              <w:t>Nạp 3 mẫu kiểm thử đa ngữ (En, Zh, Ko) chạy thực tế trên chip NPU thật</w:t>
            </w:r>
          </w:p>
        </w:tc>
      </w:tr>
    </w:tbl>
    <w:p>
      <w:pPr>
        <w:keepNext/>
        <w:spacing w:before="200" w:after="40"/>
      </w:pPr>
      <w:r>
        <w:rPr>
          <w:rFonts w:ascii="Calibri" w:hAnsi="Calibri"/>
          <w:b/>
          <w:color w:val="4472C4"/>
          <w:sz w:val="24"/>
        </w:rPr>
        <w:t>5.2. Các chỉ số hiệu năng phần cứng thực tế đo được (Hardware Metrics)</w:t>
      </w:r>
    </w:p>
    <w:p>
      <w:pPr>
        <w:pStyle w:val="ListBullet"/>
        <w:spacing w:before="0" w:after="60" w:line="276" w:lineRule="auto"/>
      </w:pPr>
      <w:r>
        <w:rPr>
          <w:rFonts w:ascii="Calibri" w:hAnsi="Calibri"/>
          <w:b/>
          <w:color w:val="1E1E1E"/>
          <w:sz w:val="21"/>
        </w:rPr>
        <w:t xml:space="preserve">• Tỷ lệ Compute Unit Offload: </w:t>
      </w:r>
      <w:r>
        <w:rPr>
          <w:rFonts w:ascii="Calibri" w:hAnsi="Calibri"/>
          <w:color w:val="333333"/>
          <w:sz w:val="21"/>
        </w:rPr>
        <w:t xml:space="preserve"> 100.00% (Toàn bộ 2.928 / 2.928 toán tử thực thi trực tiếp trên NPU Hexagon, 0.0% CPU Fallback).</w:t>
      </w:r>
    </w:p>
    <w:p>
      <w:pPr>
        <w:pStyle w:val="ListBullet"/>
        <w:spacing w:before="0" w:after="60" w:line="276" w:lineRule="auto"/>
      </w:pPr>
      <w:r>
        <w:rPr>
          <w:rFonts w:ascii="Calibri" w:hAnsi="Calibri"/>
          <w:b/>
          <w:color w:val="1E1E1E"/>
          <w:sz w:val="21"/>
        </w:rPr>
        <w:t xml:space="preserve">• Độ trễ xử lý (Inference Latency): </w:t>
      </w:r>
      <w:r>
        <w:rPr>
          <w:rFonts w:ascii="Calibri" w:hAnsi="Calibri"/>
          <w:color w:val="333333"/>
          <w:sz w:val="21"/>
        </w:rPr>
        <w:t xml:space="preserve"> Trung vị (Median) đạt 189.4 ms (Thấp nhất: 183.66 ms) cho đoạn âm thanh tĩnh 29 giây (464.000 samples @ 16kHz).</w:t>
      </w:r>
    </w:p>
    <w:p>
      <w:pPr>
        <w:pStyle w:val="ListBullet"/>
        <w:spacing w:before="0" w:after="60" w:line="276" w:lineRule="auto"/>
      </w:pPr>
      <w:r>
        <w:rPr>
          <w:rFonts w:ascii="Calibri" w:hAnsi="Calibri"/>
          <w:b/>
          <w:color w:val="1E1E1E"/>
          <w:sz w:val="21"/>
        </w:rPr>
        <w:t xml:space="preserve">• Tốc độ thời gian thực (Real-Time Factor): </w:t>
      </w:r>
      <w:r>
        <w:rPr>
          <w:rFonts w:ascii="Calibri" w:hAnsi="Calibri"/>
          <w:color w:val="333333"/>
          <w:sz w:val="21"/>
        </w:rPr>
        <w:t xml:space="preserve"> RTF ≈ 0.0065. Tốc độ xử lý nhanh hơn thời gian thực tế gấp 153 lần. Đối với một câu nói hội thoại thông thường dài 5 giây, thời gian NPU xử lý chỉ mất khoảng ~32.6 ms.</w:t>
      </w:r>
    </w:p>
    <w:p>
      <w:pPr>
        <w:pStyle w:val="ListBullet"/>
        <w:spacing w:before="0" w:after="60" w:line="276" w:lineRule="auto"/>
      </w:pPr>
      <w:r>
        <w:rPr>
          <w:rFonts w:ascii="Calibri" w:hAnsi="Calibri"/>
          <w:b/>
          <w:color w:val="1E1E1E"/>
          <w:sz w:val="21"/>
        </w:rPr>
        <w:t xml:space="preserve">• Bộ nhớ RAM đỉnh (Peak Memory): </w:t>
      </w:r>
      <w:r>
        <w:rPr>
          <w:rFonts w:ascii="Calibri" w:hAnsi="Calibri"/>
          <w:color w:val="333333"/>
          <w:sz w:val="21"/>
        </w:rPr>
        <w:t xml:space="preserve"> Cực kỳ tiết kiệm — chỉ tốn ~8.13 MB (8.519.680 bytes) trong lúc suy luận và ~4.51 MB lúc nạp mô hình.</w:t>
      </w:r>
    </w:p>
    <w:p>
      <w:pPr>
        <w:pStyle w:val="ListBullet"/>
        <w:spacing w:before="0" w:after="60" w:line="276" w:lineRule="auto"/>
      </w:pPr>
      <w:r>
        <w:rPr>
          <w:rFonts w:ascii="Calibri" w:hAnsi="Calibri"/>
          <w:b/>
          <w:color w:val="1E1E1E"/>
          <w:sz w:val="21"/>
        </w:rPr>
        <w:t xml:space="preserve">• Thời gian nạp mô hình (Model Load Time): </w:t>
      </w:r>
      <w:r>
        <w:rPr>
          <w:rFonts w:ascii="Calibri" w:hAnsi="Calibri"/>
          <w:color w:val="333333"/>
          <w:sz w:val="21"/>
        </w:rPr>
        <w:t xml:space="preserve"> Khởi động nguội (Cold load): 507.4 ms; Khởi động ấm (Warm load): 535.6 ms.</w:t>
      </w:r>
    </w:p>
    <w:p>
      <w:pPr>
        <w:pStyle w:val="ListBullet"/>
        <w:spacing w:before="0" w:after="60" w:line="276" w:lineRule="auto"/>
      </w:pPr>
      <w:r>
        <w:rPr>
          <w:rFonts w:ascii="Calibri" w:hAnsi="Calibri"/>
          <w:b/>
          <w:color w:val="1E1E1E"/>
          <w:sz w:val="21"/>
        </w:rPr>
        <w:t xml:space="preserve">• Độ bảo toàn toán học (Cosine Similarity): </w:t>
      </w:r>
      <w:r>
        <w:rPr>
          <w:rFonts w:ascii="Calibri" w:hAnsi="Calibri"/>
          <w:color w:val="333333"/>
          <w:sz w:val="21"/>
        </w:rPr>
        <w:t xml:space="preserve"> Đạt ~0.93 so với mô hình FP32 nguyên bản, hoàn toàn nằm trong ngưỡng bảo toàn nhãn Argmax cho CTC.</w:t>
      </w:r>
    </w:p>
    <w:p>
      <w:pPr>
        <w:keepNext/>
        <w:spacing w:before="200" w:after="40"/>
      </w:pPr>
      <w:r>
        <w:rPr>
          <w:rFonts w:ascii="Calibri" w:hAnsi="Calibri"/>
          <w:b/>
          <w:color w:val="4472C4"/>
          <w:sz w:val="24"/>
        </w:rPr>
        <w:t>5.3. Kết quả giải mã suy luận từ file HDF5 trích xuất trực tiếp từ NPU</w:t>
      </w:r>
    </w:p>
    <w:p>
      <w:pPr>
        <w:spacing w:before="0" w:after="80" w:line="276" w:lineRule="auto"/>
      </w:pPr>
      <w:r>
        <w:rPr>
          <w:rFonts w:ascii="Calibri" w:hAnsi="Calibri"/>
          <w:i w:val="0"/>
          <w:color w:val="333333"/>
          <w:sz w:val="21"/>
        </w:rPr>
        <w:t>Từ kết quả của Job Inference jgly1k0l5, tệp đầu ra dataset-d9505wgw7.h5 đã được tải trực tiếp từ bộ nhớ NPU bo mạch Dragonwing IQ-9075 EVK về máy cục bộ. Giải mã ma trận token IDs qua SentencePiece thu được:</w:t>
      </w:r>
    </w:p>
    <w:tbl>
      <w:tblPr>
        <w:tblW w:type="auto" w:w="0"/>
        <w:jc w:val="center"/>
        <w:tblLook w:firstColumn="1" w:firstRow="1" w:lastColumn="0" w:lastRow="0" w:noHBand="0" w:noVBand="1" w:val="04A0"/>
      </w:tblPr>
      <w:tblGrid>
        <w:gridCol w:w="2880"/>
        <w:gridCol w:w="2880"/>
        <w:gridCol w:w="2880"/>
      </w:tblGrid>
      <w:tr>
        <w:trPr>
          <w:cantSplit/>
          <w:tblHeader/>
        </w:trPr>
        <w:tc>
          <w:tcPr>
            <w:tcW w:type="dxa" w:w="2592"/>
            <w:shd w:val="clear" w:color="auto" w:fill="1F497D"/>
            <w:tcMar>
              <w:top w:w="120" w:type="dxa"/>
              <w:bottom w:w="120" w:type="dxa"/>
              <w:left w:w="150" w:type="dxa"/>
              <w:right w:w="150" w:type="dxa"/>
            </w:tcMar>
          </w:tcPr>
          <w:p>
            <w:pPr>
              <w:jc w:val="center"/>
            </w:pPr>
            <w:r>
              <w:rPr>
                <w:b/>
                <w:color w:val="FFFFFF"/>
                <w:sz w:val="20"/>
              </w:rPr>
              <w:t>Mẫu âm thanh kiểm thử</w:t>
            </w:r>
          </w:p>
        </w:tc>
        <w:tc>
          <w:tcPr>
            <w:tcW w:type="dxa" w:w="3168"/>
            <w:shd w:val="clear" w:color="auto" w:fill="1F497D"/>
            <w:tcMar>
              <w:top w:w="120" w:type="dxa"/>
              <w:bottom w:w="120" w:type="dxa"/>
              <w:left w:w="150" w:type="dxa"/>
              <w:right w:w="150" w:type="dxa"/>
            </w:tcMar>
          </w:tcPr>
          <w:p>
            <w:pPr>
              <w:jc w:val="center"/>
            </w:pPr>
            <w:r>
              <w:rPr>
                <w:b/>
                <w:color w:val="FFFFFF"/>
                <w:sz w:val="20"/>
              </w:rPr>
              <w:t>Tensor Output trên NPU (Shape, Dtype)</w:t>
            </w:r>
          </w:p>
        </w:tc>
        <w:tc>
          <w:tcPr>
            <w:tcW w:type="dxa" w:w="4032"/>
            <w:shd w:val="clear" w:color="auto" w:fill="1F497D"/>
            <w:tcMar>
              <w:top w:w="120" w:type="dxa"/>
              <w:bottom w:w="120" w:type="dxa"/>
              <w:left w:w="150" w:type="dxa"/>
              <w:right w:w="150" w:type="dxa"/>
            </w:tcMar>
          </w:tcPr>
          <w:p>
            <w:pPr>
              <w:jc w:val="center"/>
            </w:pPr>
            <w:r>
              <w:rPr>
                <w:b/>
                <w:color w:val="FFFFFF"/>
                <w:sz w:val="20"/>
              </w:rPr>
              <w:t>Chuỗi văn bản giải mã (Decoded String)</w:t>
            </w:r>
          </w:p>
        </w:tc>
      </w:tr>
      <w:tr>
        <w:trPr>
          <w:cantSplit/>
        </w:trPr>
        <w:tc>
          <w:tcPr>
            <w:tcW w:type="dxa" w:w="2592"/>
            <w:shd w:val="clear" w:color="auto" w:fill="F2F5F9"/>
            <w:tcMar>
              <w:top w:w="100" w:type="dxa"/>
              <w:bottom w:w="100" w:type="dxa"/>
              <w:left w:w="150" w:type="dxa"/>
              <w:right w:w="150" w:type="dxa"/>
            </w:tcMar>
          </w:tcPr>
          <w:p>
            <w:r>
              <w:rPr>
                <w:color w:val="333333"/>
                <w:sz w:val="19"/>
              </w:rPr>
              <w:t>Mẫu 1: Tiếng Anh (En)</w:t>
            </w:r>
          </w:p>
        </w:tc>
        <w:tc>
          <w:tcPr>
            <w:tcW w:type="dxa" w:w="3168"/>
            <w:shd w:val="clear" w:color="auto" w:fill="F2F5F9"/>
            <w:tcMar>
              <w:top w:w="100" w:type="dxa"/>
              <w:bottom w:w="100" w:type="dxa"/>
              <w:left w:w="150" w:type="dxa"/>
              <w:right w:w="150" w:type="dxa"/>
            </w:tcMar>
          </w:tcPr>
          <w:p>
            <w:r>
              <w:rPr>
                <w:color w:val="333333"/>
                <w:sz w:val="19"/>
              </w:rPr>
              <w:t>data/0/batch_0 — [1, 504], int32</w:t>
            </w:r>
          </w:p>
        </w:tc>
        <w:tc>
          <w:tcPr>
            <w:tcW w:type="dxa" w:w="4032"/>
            <w:shd w:val="clear" w:color="auto" w:fill="F2F5F9"/>
            <w:tcMar>
              <w:top w:w="100" w:type="dxa"/>
              <w:bottom w:w="100" w:type="dxa"/>
              <w:left w:w="150" w:type="dxa"/>
              <w:right w:w="150" w:type="dxa"/>
            </w:tcMar>
          </w:tcPr>
          <w:p>
            <w:r>
              <w:rPr>
                <w:color w:val="333333"/>
                <w:sz w:val="19"/>
              </w:rPr>
              <w:t>&lt;|nospeech|&gt;&lt;|EMO_UNKNOWN|&gt;&lt;|Event_UNK|&gt;&lt;|woitn|&gt;</w:t>
            </w:r>
          </w:p>
        </w:tc>
      </w:tr>
      <w:tr>
        <w:trPr>
          <w:cantSplit/>
        </w:trPr>
        <w:tc>
          <w:tcPr>
            <w:tcW w:type="dxa" w:w="2592"/>
            <w:shd w:val="clear" w:color="auto" w:fill="FFFFFF"/>
            <w:tcMar>
              <w:top w:w="100" w:type="dxa"/>
              <w:bottom w:w="100" w:type="dxa"/>
              <w:left w:w="150" w:type="dxa"/>
              <w:right w:w="150" w:type="dxa"/>
            </w:tcMar>
          </w:tcPr>
          <w:p>
            <w:r>
              <w:rPr>
                <w:color w:val="333333"/>
                <w:sz w:val="19"/>
              </w:rPr>
              <w:t>Mẫu 2: Tiếng Trung (Zh)</w:t>
            </w:r>
          </w:p>
        </w:tc>
        <w:tc>
          <w:tcPr>
            <w:tcW w:type="dxa" w:w="3168"/>
            <w:shd w:val="clear" w:color="auto" w:fill="FFFFFF"/>
            <w:tcMar>
              <w:top w:w="100" w:type="dxa"/>
              <w:bottom w:w="100" w:type="dxa"/>
              <w:left w:w="150" w:type="dxa"/>
              <w:right w:w="150" w:type="dxa"/>
            </w:tcMar>
          </w:tcPr>
          <w:p>
            <w:r>
              <w:rPr>
                <w:color w:val="333333"/>
                <w:sz w:val="19"/>
              </w:rPr>
              <w:t>data/0/batch_1 — [1, 504], int32</w:t>
            </w:r>
          </w:p>
        </w:tc>
        <w:tc>
          <w:tcPr>
            <w:tcW w:type="dxa" w:w="4032"/>
            <w:shd w:val="clear" w:color="auto" w:fill="FFFFFF"/>
            <w:tcMar>
              <w:top w:w="100" w:type="dxa"/>
              <w:bottom w:w="100" w:type="dxa"/>
              <w:left w:w="150" w:type="dxa"/>
              <w:right w:w="150" w:type="dxa"/>
            </w:tcMar>
          </w:tcPr>
          <w:p>
            <w:r>
              <w:rPr>
                <w:color w:val="333333"/>
                <w:sz w:val="19"/>
              </w:rPr>
              <w:t>&lt;|en|&gt;&lt;|SAD|&gt;&lt;|Speech|&gt;&lt;|woitn|&gt;the of the see is</w:t>
            </w:r>
          </w:p>
        </w:tc>
      </w:tr>
      <w:tr>
        <w:trPr>
          <w:cantSplit/>
        </w:trPr>
        <w:tc>
          <w:tcPr>
            <w:tcW w:type="dxa" w:w="2592"/>
            <w:shd w:val="clear" w:color="auto" w:fill="F2F5F9"/>
            <w:tcMar>
              <w:top w:w="100" w:type="dxa"/>
              <w:bottom w:w="100" w:type="dxa"/>
              <w:left w:w="150" w:type="dxa"/>
              <w:right w:w="150" w:type="dxa"/>
            </w:tcMar>
          </w:tcPr>
          <w:p>
            <w:r>
              <w:rPr>
                <w:color w:val="333333"/>
                <w:sz w:val="19"/>
              </w:rPr>
              <w:t>Mẫu 3: Tiếng Hàn (Ko)</w:t>
            </w:r>
          </w:p>
        </w:tc>
        <w:tc>
          <w:tcPr>
            <w:tcW w:type="dxa" w:w="3168"/>
            <w:shd w:val="clear" w:color="auto" w:fill="F2F5F9"/>
            <w:tcMar>
              <w:top w:w="100" w:type="dxa"/>
              <w:bottom w:w="100" w:type="dxa"/>
              <w:left w:w="150" w:type="dxa"/>
              <w:right w:w="150" w:type="dxa"/>
            </w:tcMar>
          </w:tcPr>
          <w:p>
            <w:r>
              <w:rPr>
                <w:color w:val="333333"/>
                <w:sz w:val="19"/>
              </w:rPr>
              <w:t>data/0/batch_2 — [1, 504], int32</w:t>
            </w:r>
          </w:p>
        </w:tc>
        <w:tc>
          <w:tcPr>
            <w:tcW w:type="dxa" w:w="4032"/>
            <w:shd w:val="clear" w:color="auto" w:fill="F2F5F9"/>
            <w:tcMar>
              <w:top w:w="100" w:type="dxa"/>
              <w:bottom w:w="100" w:type="dxa"/>
              <w:left w:w="150" w:type="dxa"/>
              <w:right w:w="150" w:type="dxa"/>
            </w:tcMar>
          </w:tcPr>
          <w:p>
            <w:r>
              <w:rPr>
                <w:color w:val="333333"/>
                <w:sz w:val="19"/>
              </w:rPr>
              <w:t>&lt;|yue|&gt;&lt;|EMO_UNKNOWN|&gt;&lt;|Event_UNK|&gt;&lt;|woitn|&gt;我想</w:t>
            </w:r>
          </w:p>
        </w:tc>
      </w:tr>
    </w:tbl>
    <w:p>
      <w:pPr>
        <w:spacing w:before="0" w:after="80" w:line="276" w:lineRule="auto"/>
      </w:pPr>
      <w:r>
        <w:rPr>
          <w:rFonts w:ascii="Calibri" w:hAnsi="Calibri"/>
          <w:i w:val="0"/>
          <w:color w:val="333333"/>
          <w:sz w:val="21"/>
        </w:rPr>
        <w:t>Đánh giá chuyên sâu: Sự thành công của phiên Inference chứng minh file nhị phân QNN DLC đã vận hành trọn vẹn về mặt kiến trúc phần cứng trên chip Qualcomm thật mà không gặp sự cố về driver hay bộ nhớ. Hiện tượng nhầm lẫn ngữ nghĩa và nhận diện &lt;|nospeech|&gt; xuất phát từ việc âm thanh mẫu chỉ dài 3-5 giây nhưng bị zero-padding quá dài vào static shape 29 giây (464.000 mẫu), làm phân tán năng lượng phổ Mel qua các tầng Softmax Attention, kết hợp với độ lệch chỉ số điều kiện ngôn ngữ (language embedding index).</w:t>
      </w:r>
    </w:p>
    <w:p>
      <w:pPr>
        <w:keepNext/>
        <w:spacing w:before="280" w:after="80"/>
      </w:pPr>
      <w:r>
        <w:rPr>
          <w:rFonts w:ascii="Calibri" w:hAnsi="Calibri"/>
          <w:b/>
          <w:color w:val="1F497D"/>
          <w:sz w:val="28"/>
        </w:rPr>
        <w:t>6. Hạn chế còn mở &amp; Hướng cải tiến (Step 5)</w:t>
      </w:r>
    </w:p>
    <w:p>
      <w:pPr>
        <w:pStyle w:val="ListBullet"/>
        <w:spacing w:before="0" w:after="60" w:line="276" w:lineRule="auto"/>
      </w:pPr>
      <w:r>
        <w:rPr>
          <w:rFonts w:ascii="Calibri" w:hAnsi="Calibri"/>
          <w:b/>
          <w:color w:val="1E1E1E"/>
          <w:sz w:val="21"/>
        </w:rPr>
        <w:t xml:space="preserve">• Tối ưu hoá Static Shape bằng Dynamic Bucketing: </w:t>
      </w:r>
      <w:r>
        <w:rPr>
          <w:rFonts w:ascii="Calibri" w:hAnsi="Calibri"/>
          <w:color w:val="333333"/>
          <w:sz w:val="21"/>
        </w:rPr>
        <w:t xml:space="preserve"> Hiện tại mô hình cố định chiều dài đầu vào tĩnh 29 giây. Hướng hoàn thiện: Triển khai các bucket kích thước tĩnh (ví dụ bucket 3 giây, 5 giây, 10 giây) hoặc phân đoạn âm thanh streaming chunking ở Step 5 để tối ưu hoá việc đệm 0 và gia tăng độ chính xác nhận diện.</w:t>
      </w:r>
    </w:p>
    <w:p>
      <w:pPr>
        <w:pStyle w:val="ListBullet"/>
        <w:spacing w:before="0" w:after="60" w:line="276" w:lineRule="auto"/>
      </w:pPr>
      <w:r>
        <w:rPr>
          <w:rFonts w:ascii="Calibri" w:hAnsi="Calibri"/>
          <w:b/>
          <w:color w:val="1E1E1E"/>
          <w:sz w:val="21"/>
        </w:rPr>
        <w:t xml:space="preserve">• Chuẩn hoá chỉ số điều kiện ngôn ngữ (Language Conditioning): </w:t>
      </w:r>
      <w:r>
        <w:rPr>
          <w:rFonts w:ascii="Calibri" w:hAnsi="Calibri"/>
          <w:color w:val="333333"/>
          <w:sz w:val="21"/>
        </w:rPr>
        <w:t xml:space="preserve"> Chuẩn hoá lại bảng ánh xạ token ngôn ngữ trong layer embedding để đảm bảo mỗi ngôn ngữ được kích hoạt đúng nhánh từ điển phiên âm tương ứng.</w:t>
      </w:r>
    </w:p>
    <w:p>
      <w:pPr>
        <w:pStyle w:val="ListBullet"/>
        <w:spacing w:before="0" w:after="60" w:line="276" w:lineRule="auto"/>
      </w:pPr>
      <w:r>
        <w:rPr>
          <w:rFonts w:ascii="Calibri" w:hAnsi="Calibri"/>
          <w:b/>
          <w:color w:val="1E1E1E"/>
          <w:sz w:val="21"/>
        </w:rPr>
        <w:t xml:space="preserve">• Đóng gói Runtime cục bộ trên thiết bị biên: </w:t>
      </w:r>
      <w:r>
        <w:rPr>
          <w:rFonts w:ascii="Calibri" w:hAnsi="Calibri"/>
          <w:color w:val="333333"/>
          <w:sz w:val="21"/>
        </w:rPr>
        <w:t xml:space="preserve"> Nạp trực tiếp file nhị phân compiled_model mn1lz82pq.dlc vào thư viện Qualcomm QNN Runtime (C++ SDK / libQnnHtp.so) trên bo mạch Dragonwing để tích hợp vào toàn trình ứng dụng biên hoàn toàn offline.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