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97D"/>
          <w:sz w:val="32"/>
        </w:rPr>
        <w:t>BÁO CÁO KỸ THUẬT TRIỂN KHAI STEP 4 (NPU DEPLOYMENT)</w:t>
      </w:r>
    </w:p>
    <w:p>
      <w:pPr>
        <w:spacing w:before="0" w:after="280"/>
        <w:jc w:val="center"/>
      </w:pPr>
      <w:r>
        <w:rPr>
          <w:rFonts w:ascii="Calibri" w:hAnsi="Calibri"/>
          <w:b/>
          <w:color w:val="4472C4"/>
          <w:sz w:val="22"/>
        </w:rPr>
        <w:t>Thành viên phụ trách: Lê Gia Khánh | AI Engineer</w:t>
        <w:br/>
        <w:t>Mô hình: SenseVoice-Small — ASR Đa ngữ (Anh / Trung / Hàn)</w:t>
      </w:r>
    </w:p>
    <w:p>
      <w:pPr>
        <w:keepNext/>
        <w:spacing w:before="280" w:after="80"/>
      </w:pPr>
      <w:r>
        <w:rPr>
          <w:rFonts w:ascii="Calibri" w:hAnsi="Calibri"/>
          <w:b/>
          <w:color w:val="1F497D"/>
          <w:sz w:val="28"/>
        </w:rPr>
        <w:t>1. Kiến trúc Mô hình SenseVoice-Small</w:t>
      </w:r>
    </w:p>
    <w:p>
      <w:pPr>
        <w:spacing w:before="0" w:after="80" w:line="276" w:lineRule="auto"/>
      </w:pPr>
      <w:r>
        <w:rPr>
          <w:rFonts w:ascii="Calibri" w:hAnsi="Calibri"/>
          <w:i w:val="0"/>
          <w:color w:val="333333"/>
          <w:sz w:val="20"/>
        </w:rPr>
        <w:t>SenseVoice-Small là mô hình nhận diện giọng nói đa ngữ gọn nhẹ phát triển bởi Alibaba FunASR (dung lượng gốc ~893 MB PyTorch FP32 checkpoint). Thiết kế dựa trên nguyên lý Non-Autoregressive (NAR) kết hợp CTC Loss, cho phép giải mã toàn bộ câu nói trong duy nhất một lượt truyền thẳng (single-pass forward) với tốc độ xử lý siêu nhanh (~30-50ms).</w:t>
      </w:r>
    </w:p>
    <w:p>
      <w:pPr>
        <w:pStyle w:val="ListBullet"/>
        <w:spacing w:before="0" w:after="60" w:line="276" w:lineRule="auto"/>
      </w:pPr>
      <w:r>
        <w:rPr>
          <w:rFonts w:ascii="Calibri" w:hAnsi="Calibri"/>
          <w:b/>
          <w:color w:val="1E1E1E"/>
          <w:sz w:val="20"/>
        </w:rPr>
        <w:t xml:space="preserve">• Khối WavFrontend: </w:t>
      </w:r>
      <w:r>
        <w:rPr>
          <w:rFonts w:ascii="Calibri" w:hAnsi="Calibri"/>
          <w:color w:val="333333"/>
          <w:sz w:val="20"/>
        </w:rPr>
        <w:t xml:space="preserve"> Trích xuất 80 chiều Fbank từ sóng âm 16kHz qua chuỗi: upsample 2^15, framing 25ms/10ms, pre-emphasis 0.97, Hamming window, STFT 512 điểm, Mel filterbank, Log compression, LFR stack 7 hop 6 (tạo vector 560 chiều) và CMVN.</w:t>
      </w:r>
    </w:p>
    <w:p>
      <w:pPr>
        <w:pStyle w:val="ListBullet"/>
        <w:spacing w:before="0" w:after="60" w:line="276" w:lineRule="auto"/>
      </w:pPr>
      <w:r>
        <w:rPr>
          <w:rFonts w:ascii="Calibri" w:hAnsi="Calibri"/>
          <w:b/>
          <w:color w:val="1E1E1E"/>
          <w:sz w:val="20"/>
        </w:rPr>
        <w:t xml:space="preserve">• Khối Encoder: </w:t>
      </w:r>
      <w:r>
        <w:rPr>
          <w:rFonts w:ascii="Calibri" w:hAnsi="Calibri"/>
          <w:color w:val="333333"/>
          <w:sz w:val="20"/>
        </w:rPr>
        <w:t xml:space="preserve"> 50 lớp Transformer nén sâu trích xuất vector ngữ âm không gian-thời gian [1, T', 512].</w:t>
      </w:r>
    </w:p>
    <w:p>
      <w:pPr>
        <w:pStyle w:val="ListBullet"/>
        <w:spacing w:before="0" w:after="60" w:line="276" w:lineRule="auto"/>
      </w:pPr>
      <w:r>
        <w:rPr>
          <w:rFonts w:ascii="Calibri" w:hAnsi="Calibri"/>
          <w:b/>
          <w:color w:val="1E1E1E"/>
          <w:sz w:val="20"/>
        </w:rPr>
        <w:t xml:space="preserve">• Khối CTC Head: </w:t>
      </w:r>
      <w:r>
        <w:rPr>
          <w:rFonts w:ascii="Calibri" w:hAnsi="Calibri"/>
          <w:color w:val="333333"/>
          <w:sz w:val="20"/>
        </w:rPr>
        <w:t xml:space="preserve"> Chiếu vector ẩn sang không gian 25.055 từ vựng và lấy Argmax tĩnh để sinh token IDs.</w:t>
      </w:r>
    </w:p>
    <w:p>
      <w:pPr>
        <w:pStyle w:val="ListBullet"/>
        <w:spacing w:before="0" w:after="60" w:line="276" w:lineRule="auto"/>
      </w:pPr>
      <w:r>
        <w:rPr>
          <w:rFonts w:ascii="Calibri" w:hAnsi="Calibri"/>
          <w:b/>
          <w:color w:val="1E1E1E"/>
          <w:sz w:val="20"/>
        </w:rPr>
        <w:t xml:space="preserve">• Khối Mở rộng: </w:t>
      </w:r>
      <w:r>
        <w:rPr>
          <w:rFonts w:ascii="Calibri" w:hAnsi="Calibri"/>
          <w:color w:val="333333"/>
          <w:sz w:val="20"/>
        </w:rPr>
        <w:t xml:space="preserve"> Tích hợp sẵn Inverse Text Normalization (ITN) và Language Identification (LID).</w:t>
      </w:r>
    </w:p>
    <w:p>
      <w:pPr>
        <w:keepNext/>
        <w:spacing w:before="280" w:after="80"/>
      </w:pPr>
      <w:r>
        <w:rPr>
          <w:rFonts w:ascii="Calibri" w:hAnsi="Calibri"/>
          <w:b/>
          <w:color w:val="1F497D"/>
          <w:sz w:val="28"/>
        </w:rPr>
        <w:t>2. Hướng Deploy &amp; Công thức Lượng tử hoá (Quantization)</w:t>
      </w:r>
    </w:p>
    <w:p>
      <w:pPr>
        <w:pStyle w:val="ListBullet"/>
        <w:spacing w:before="0" w:after="60" w:line="276" w:lineRule="auto"/>
      </w:pPr>
      <w:r>
        <w:rPr>
          <w:rFonts w:ascii="Calibri" w:hAnsi="Calibri"/>
          <w:b/>
          <w:color w:val="1E1E1E"/>
          <w:sz w:val="20"/>
        </w:rPr>
        <w:t xml:space="preserve">• Phần cứng mục tiêu: </w:t>
      </w:r>
      <w:r>
        <w:rPr>
          <w:rFonts w:ascii="Calibri" w:hAnsi="Calibri"/>
          <w:color w:val="333333"/>
          <w:sz w:val="20"/>
        </w:rPr>
        <w:t xml:space="preserve"> Qualcomm Dragonwing IQ-9075 EVK, SoC Qualcomm Hexagon NPU thế hệ v73 (100 dense TOPS, 36GB LPDDR5).</w:t>
      </w:r>
    </w:p>
    <w:p>
      <w:pPr>
        <w:pStyle w:val="ListBullet"/>
        <w:spacing w:before="0" w:after="60" w:line="276" w:lineRule="auto"/>
      </w:pPr>
      <w:r>
        <w:rPr>
          <w:rFonts w:ascii="Calibri" w:hAnsi="Calibri"/>
          <w:b/>
          <w:color w:val="1E1E1E"/>
          <w:sz w:val="20"/>
        </w:rPr>
        <w:t xml:space="preserve">• Công thức lượng tử: </w:t>
      </w:r>
      <w:r>
        <w:rPr>
          <w:rFonts w:ascii="Calibri" w:hAnsi="Calibri"/>
          <w:color w:val="333333"/>
          <w:sz w:val="20"/>
        </w:rPr>
        <w:t xml:space="preserve"> W8A16 Mixed Precision (Trọng số INT8 nén 4 lần, Kích hoạt INT16 bảo toàn tuyệt đối dải động các tầng Attention và Softmax theo đúng quy chuẩn step4_meeting.md).</w:t>
      </w:r>
    </w:p>
    <w:p>
      <w:pPr>
        <w:pStyle w:val="ListBullet"/>
        <w:spacing w:before="0" w:after="60" w:line="276" w:lineRule="auto"/>
      </w:pPr>
      <w:r>
        <w:rPr>
          <w:rFonts w:ascii="Calibri" w:hAnsi="Calibri"/>
          <w:b/>
          <w:color w:val="1E1E1E"/>
          <w:sz w:val="20"/>
        </w:rPr>
        <w:t xml:space="preserve">• Đột phá End-to-End: </w:t>
      </w:r>
      <w:r>
        <w:rPr>
          <w:rFonts w:ascii="Calibri" w:hAnsi="Calibri"/>
          <w:color w:val="333333"/>
          <w:sz w:val="20"/>
        </w:rPr>
        <w:t xml:space="preserve"> Tích hợp toàn bộ WavFrontend (Conv1D + ma trận DFT tĩnh) và CTC Argmax vào duy nhất một đồ thị ONNX tĩnh kích thước [1, 464000]. 100% đồ thị tính toán được nạp thẳng lên Hexagon NPU, CPU hoàn toàn không can thiệp vào luồng nơ-ron.</w:t>
      </w:r>
    </w:p>
    <w:p>
      <w:pPr>
        <w:keepNext/>
        <w:spacing w:before="200" w:after="40"/>
      </w:pPr>
      <w:r>
        <w:rPr>
          <w:rFonts w:ascii="Calibri" w:hAnsi="Calibri"/>
          <w:b/>
          <w:color w:val="4472C4"/>
          <w:sz w:val="24"/>
        </w:rPr>
        <w:t>2.1. Khẳng định 100.0% Toàn bộ Mô hình Vận hành trên Hexagon NPU</w:t>
      </w:r>
    </w:p>
    <w:p>
      <w:pPr>
        <w:spacing w:before="0" w:after="80" w:line="276" w:lineRule="auto"/>
      </w:pPr>
      <w:r>
        <w:rPr>
          <w:rFonts w:ascii="Calibri" w:hAnsi="Calibri"/>
          <w:i w:val="0"/>
          <w:color w:val="333333"/>
          <w:sz w:val="20"/>
        </w:rPr>
        <w:t>Báo cáo kiểm thử thực tế từ Qualcomm AI Hub xác nhận: Tổng số 2.928 / 2.928 toán tử (100.00%) chạy hoàn toàn trên chip Hexagon NPU v73, tỷ lệ CPU Fallback là 0.00%. CPU máy chủ chỉ đảm nhận nhiệm vụ chuyển con trỏ bộ nhớ mic và tra bảng từ điển SentencePiece (&lt;0.1ms).</w:t>
      </w:r>
    </w:p>
    <w:p>
      <w:pPr>
        <w:keepNext/>
        <w:spacing w:before="280" w:after="80"/>
      </w:pPr>
      <w:r>
        <w:rPr>
          <w:rFonts w:ascii="Calibri" w:hAnsi="Calibri"/>
          <w:b/>
          <w:color w:val="1F497D"/>
          <w:sz w:val="28"/>
        </w:rPr>
        <w:t>3. Các tệp mã nguồn triển khai (Pipeline Files)</w:t>
      </w:r>
    </w:p>
    <w:tbl>
      <w:tblPr>
        <w:tblW w:type="auto" w:w="0"/>
        <w:jc w:val="center"/>
        <w:tblLook w:firstColumn="1" w:firstRow="1" w:lastColumn="0" w:lastRow="0" w:noHBand="0" w:noVBand="1" w:val="04A0"/>
      </w:tblPr>
      <w:tblGrid>
        <w:gridCol w:w="4320"/>
        <w:gridCol w:w="4320"/>
      </w:tblGrid>
      <w:tr>
        <w:trPr>
          <w:cantSplit/>
          <w:tblHeader/>
        </w:trPr>
        <w:tc>
          <w:tcPr>
            <w:tcW w:type="dxa" w:w="3600"/>
            <w:shd w:val="clear" w:color="auto" w:fill="1F497D"/>
            <w:tcMar>
              <w:top w:w="120" w:type="dxa"/>
              <w:bottom w:w="120" w:type="dxa"/>
              <w:left w:w="150" w:type="dxa"/>
              <w:right w:w="150" w:type="dxa"/>
            </w:tcMar>
          </w:tcPr>
          <w:p>
            <w:pPr>
              <w:jc w:val="center"/>
            </w:pPr>
            <w:r>
              <w:rPr>
                <w:b/>
                <w:color w:val="FFFFFF"/>
                <w:sz w:val="19"/>
              </w:rPr>
              <w:t>Tệp mã nguồn</w:t>
            </w:r>
          </w:p>
        </w:tc>
        <w:tc>
          <w:tcPr>
            <w:tcW w:type="dxa" w:w="6480"/>
            <w:shd w:val="clear" w:color="auto" w:fill="1F497D"/>
            <w:tcMar>
              <w:top w:w="120" w:type="dxa"/>
              <w:bottom w:w="120" w:type="dxa"/>
              <w:left w:w="150" w:type="dxa"/>
              <w:right w:w="150" w:type="dxa"/>
            </w:tcMar>
          </w:tcPr>
          <w:p>
            <w:pPr>
              <w:jc w:val="center"/>
            </w:pPr>
            <w:r>
              <w:rPr>
                <w:b/>
                <w:color w:val="FFFFFF"/>
                <w:sz w:val="19"/>
              </w:rPr>
              <w:t>Vai trò &amp; Chức năng kỹ thuật</w:t>
            </w:r>
          </w:p>
        </w:tc>
      </w:tr>
      <w:tr>
        <w:trPr>
          <w:cantSplit/>
        </w:trPr>
        <w:tc>
          <w:tcPr>
            <w:tcW w:type="dxa" w:w="3600"/>
            <w:shd w:val="clear" w:color="auto" w:fill="F2F5F9"/>
            <w:tcMar>
              <w:top w:w="100" w:type="dxa"/>
              <w:bottom w:w="100" w:type="dxa"/>
              <w:left w:w="150" w:type="dxa"/>
              <w:right w:w="150" w:type="dxa"/>
            </w:tcMar>
          </w:tcPr>
          <w:p>
            <w:r>
              <w:rPr>
                <w:color w:val="333333"/>
                <w:sz w:val="18"/>
              </w:rPr>
              <w:t>step4_s1_export_e2e_onnx.py</w:t>
            </w:r>
          </w:p>
        </w:tc>
        <w:tc>
          <w:tcPr>
            <w:tcW w:type="dxa" w:w="6480"/>
            <w:shd w:val="clear" w:color="auto" w:fill="F2F5F9"/>
            <w:tcMar>
              <w:top w:w="100" w:type="dxa"/>
              <w:bottom w:w="100" w:type="dxa"/>
              <w:left w:w="150" w:type="dxa"/>
              <w:right w:w="150" w:type="dxa"/>
            </w:tcMar>
          </w:tcPr>
          <w:p>
            <w:r>
              <w:rPr>
                <w:color w:val="333333"/>
                <w:sz w:val="18"/>
              </w:rPr>
              <w:t>Xuất đồ thị E2E hợp nhất từ sóng âm WAV thô đến CTC Argmax với static shape [1, 464000], nhúng ma trận DFT tĩnh.</w:t>
            </w:r>
          </w:p>
        </w:tc>
      </w:tr>
      <w:tr>
        <w:trPr>
          <w:cantSplit/>
        </w:trPr>
        <w:tc>
          <w:tcPr>
            <w:tcW w:type="dxa" w:w="3600"/>
            <w:shd w:val="clear" w:color="auto" w:fill="FFFFFF"/>
            <w:tcMar>
              <w:top w:w="100" w:type="dxa"/>
              <w:bottom w:w="100" w:type="dxa"/>
              <w:left w:w="150" w:type="dxa"/>
              <w:right w:w="150" w:type="dxa"/>
            </w:tcMar>
          </w:tcPr>
          <w:p>
            <w:r>
              <w:rPr>
                <w:color w:val="333333"/>
                <w:sz w:val="18"/>
              </w:rPr>
              <w:t>step4_s1_patch_mask.py</w:t>
            </w:r>
          </w:p>
        </w:tc>
        <w:tc>
          <w:tcPr>
            <w:tcW w:type="dxa" w:w="6480"/>
            <w:shd w:val="clear" w:color="auto" w:fill="FFFFFF"/>
            <w:tcMar>
              <w:top w:w="100" w:type="dxa"/>
              <w:bottom w:w="100" w:type="dxa"/>
              <w:left w:w="150" w:type="dxa"/>
              <w:right w:w="150" w:type="dxa"/>
            </w:tcMar>
          </w:tcPr>
          <w:p>
            <w:r>
              <w:rPr>
                <w:color w:val="333333"/>
                <w:sz w:val="18"/>
              </w:rPr>
              <w:t>Sử dụng onnx-graphsurgeon vá đồ thị ONNX, tiêm mảng zero-bias cho các node Conv thiếu bias nhằm ngăn chặn crash QAIRT.</w:t>
            </w:r>
          </w:p>
        </w:tc>
      </w:tr>
      <w:tr>
        <w:trPr>
          <w:cantSplit/>
        </w:trPr>
        <w:tc>
          <w:tcPr>
            <w:tcW w:type="dxa" w:w="3600"/>
            <w:shd w:val="clear" w:color="auto" w:fill="F2F5F9"/>
            <w:tcMar>
              <w:top w:w="100" w:type="dxa"/>
              <w:bottom w:w="100" w:type="dxa"/>
              <w:left w:w="150" w:type="dxa"/>
              <w:right w:w="150" w:type="dxa"/>
            </w:tcMar>
          </w:tcPr>
          <w:p>
            <w:r>
              <w:rPr>
                <w:color w:val="333333"/>
                <w:sz w:val="18"/>
              </w:rPr>
              <w:t>step4_s1_prepare_calib.py</w:t>
            </w:r>
          </w:p>
        </w:tc>
        <w:tc>
          <w:tcPr>
            <w:tcW w:type="dxa" w:w="6480"/>
            <w:shd w:val="clear" w:color="auto" w:fill="F2F5F9"/>
            <w:tcMar>
              <w:top w:w="100" w:type="dxa"/>
              <w:bottom w:w="100" w:type="dxa"/>
              <w:left w:w="150" w:type="dxa"/>
              <w:right w:w="150" w:type="dxa"/>
            </w:tcMar>
          </w:tcPr>
          <w:p>
            <w:r>
              <w:rPr>
                <w:color w:val="333333"/>
                <w:sz w:val="18"/>
              </w:rPr>
              <w:t>Chuẩn bị 15 mẫu dữ liệu âm thanh đa ngữ đại diện để hiệu chỉnh dải động cho lượng tử W8A16.</w:t>
            </w:r>
          </w:p>
        </w:tc>
      </w:tr>
      <w:tr>
        <w:trPr>
          <w:cantSplit/>
        </w:trPr>
        <w:tc>
          <w:tcPr>
            <w:tcW w:type="dxa" w:w="3600"/>
            <w:shd w:val="clear" w:color="auto" w:fill="FFFFFF"/>
            <w:tcMar>
              <w:top w:w="100" w:type="dxa"/>
              <w:bottom w:w="100" w:type="dxa"/>
              <w:left w:w="150" w:type="dxa"/>
              <w:right w:w="150" w:type="dxa"/>
            </w:tcMar>
          </w:tcPr>
          <w:p>
            <w:r>
              <w:rPr>
                <w:color w:val="333333"/>
                <w:sz w:val="18"/>
              </w:rPr>
              <w:t>step4_s1_qai_hub_submit_e2e.py</w:t>
            </w:r>
          </w:p>
        </w:tc>
        <w:tc>
          <w:tcPr>
            <w:tcW w:type="dxa" w:w="6480"/>
            <w:shd w:val="clear" w:color="auto" w:fill="FFFFFF"/>
            <w:tcMar>
              <w:top w:w="100" w:type="dxa"/>
              <w:bottom w:w="100" w:type="dxa"/>
              <w:left w:w="150" w:type="dxa"/>
              <w:right w:w="150" w:type="dxa"/>
            </w:tcMar>
          </w:tcPr>
          <w:p>
            <w:r>
              <w:rPr>
                <w:color w:val="333333"/>
                <w:sz w:val="18"/>
              </w:rPr>
              <w:t>Tự động tải đồ thị đã vá lên Qualcomm AI Hub, khởi tạo job Quantize W8A16 và Compile sang QNN DLC binary.</w:t>
            </w:r>
          </w:p>
        </w:tc>
      </w:tr>
      <w:tr>
        <w:trPr>
          <w:cantSplit/>
        </w:trPr>
        <w:tc>
          <w:tcPr>
            <w:tcW w:type="dxa" w:w="3600"/>
            <w:shd w:val="clear" w:color="auto" w:fill="F2F5F9"/>
            <w:tcMar>
              <w:top w:w="100" w:type="dxa"/>
              <w:bottom w:w="100" w:type="dxa"/>
              <w:left w:w="150" w:type="dxa"/>
              <w:right w:w="150" w:type="dxa"/>
            </w:tcMar>
          </w:tcPr>
          <w:p>
            <w:r>
              <w:rPr>
                <w:color w:val="333333"/>
                <w:sz w:val="18"/>
              </w:rPr>
              <w:t>step4_s1_profile_e2e.py</w:t>
            </w:r>
          </w:p>
        </w:tc>
        <w:tc>
          <w:tcPr>
            <w:tcW w:type="dxa" w:w="6480"/>
            <w:shd w:val="clear" w:color="auto" w:fill="F2F5F9"/>
            <w:tcMar>
              <w:top w:w="100" w:type="dxa"/>
              <w:bottom w:w="100" w:type="dxa"/>
              <w:left w:w="150" w:type="dxa"/>
              <w:right w:w="150" w:type="dxa"/>
            </w:tcMar>
          </w:tcPr>
          <w:p>
            <w:r>
              <w:rPr>
                <w:color w:val="333333"/>
                <w:sz w:val="18"/>
              </w:rPr>
              <w:t>Gửi lệnh đo kiểm hiệu năng (profiling) trực tiếp trên thiết bị phần cứng thật Dragonwing IQ-9075 EVK.</w:t>
            </w:r>
          </w:p>
        </w:tc>
      </w:tr>
      <w:tr>
        <w:trPr>
          <w:cantSplit/>
        </w:trPr>
        <w:tc>
          <w:tcPr>
            <w:tcW w:type="dxa" w:w="3600"/>
            <w:shd w:val="clear" w:color="auto" w:fill="FFFFFF"/>
            <w:tcMar>
              <w:top w:w="100" w:type="dxa"/>
              <w:bottom w:w="100" w:type="dxa"/>
              <w:left w:w="150" w:type="dxa"/>
              <w:right w:w="150" w:type="dxa"/>
            </w:tcMar>
          </w:tcPr>
          <w:p>
            <w:r>
              <w:rPr>
                <w:color w:val="333333"/>
                <w:sz w:val="18"/>
              </w:rPr>
              <w:t>step4_s1_verify_w8a16.py</w:t>
            </w:r>
          </w:p>
        </w:tc>
        <w:tc>
          <w:tcPr>
            <w:tcW w:type="dxa" w:w="6480"/>
            <w:shd w:val="clear" w:color="auto" w:fill="FFFFFF"/>
            <w:tcMar>
              <w:top w:w="100" w:type="dxa"/>
              <w:bottom w:w="100" w:type="dxa"/>
              <w:left w:w="150" w:type="dxa"/>
              <w:right w:w="150" w:type="dxa"/>
            </w:tcMar>
          </w:tcPr>
          <w:p>
            <w:r>
              <w:rPr>
                <w:color w:val="333333"/>
                <w:sz w:val="18"/>
              </w:rPr>
              <w:t>Đo lường mức độ sai lệch toán học giữa mô hình gốc FP32 và bản nén W8A16 (Cosine Similarity &gt;= 0.95).</w:t>
            </w:r>
          </w:p>
        </w:tc>
      </w:tr>
      <w:tr>
        <w:trPr>
          <w:cantSplit/>
        </w:trPr>
        <w:tc>
          <w:tcPr>
            <w:tcW w:type="dxa" w:w="3600"/>
            <w:shd w:val="clear" w:color="auto" w:fill="F2F5F9"/>
            <w:tcMar>
              <w:top w:w="100" w:type="dxa"/>
              <w:bottom w:w="100" w:type="dxa"/>
              <w:left w:w="150" w:type="dxa"/>
              <w:right w:w="150" w:type="dxa"/>
            </w:tcMar>
          </w:tcPr>
          <w:p>
            <w:r>
              <w:rPr>
                <w:color w:val="333333"/>
                <w:sz w:val="18"/>
              </w:rPr>
              <w:t>submit_full_workbench_suite.py</w:t>
            </w:r>
          </w:p>
        </w:tc>
        <w:tc>
          <w:tcPr>
            <w:tcW w:type="dxa" w:w="6480"/>
            <w:shd w:val="clear" w:color="auto" w:fill="F2F5F9"/>
            <w:tcMar>
              <w:top w:w="100" w:type="dxa"/>
              <w:bottom w:w="100" w:type="dxa"/>
              <w:left w:w="150" w:type="dxa"/>
              <w:right w:w="150" w:type="dxa"/>
            </w:tcMar>
          </w:tcPr>
          <w:p>
            <w:r>
              <w:rPr>
                <w:color w:val="333333"/>
                <w:sz w:val="18"/>
              </w:rPr>
              <w:t>Script tự động hoá submission toàn trình 3 công đoạn Quantize, Compile, Inference lên AI Hub Workbench.</w:t>
            </w:r>
          </w:p>
        </w:tc>
      </w:tr>
      <w:tr>
        <w:trPr>
          <w:cantSplit/>
        </w:trPr>
        <w:tc>
          <w:tcPr>
            <w:tcW w:type="dxa" w:w="3600"/>
            <w:shd w:val="clear" w:color="auto" w:fill="FFFFFF"/>
            <w:tcMar>
              <w:top w:w="100" w:type="dxa"/>
              <w:bottom w:w="100" w:type="dxa"/>
              <w:left w:w="150" w:type="dxa"/>
              <w:right w:w="150" w:type="dxa"/>
            </w:tcMar>
          </w:tcPr>
          <w:p>
            <w:r>
              <w:rPr>
                <w:color w:val="333333"/>
                <w:sz w:val="18"/>
              </w:rPr>
              <w:t>decode_h5_results.py</w:t>
            </w:r>
          </w:p>
        </w:tc>
        <w:tc>
          <w:tcPr>
            <w:tcW w:type="dxa" w:w="6480"/>
            <w:shd w:val="clear" w:color="auto" w:fill="FFFFFF"/>
            <w:tcMar>
              <w:top w:w="100" w:type="dxa"/>
              <w:bottom w:w="100" w:type="dxa"/>
              <w:left w:w="150" w:type="dxa"/>
              <w:right w:w="150" w:type="dxa"/>
            </w:tcMar>
          </w:tcPr>
          <w:p>
            <w:r>
              <w:rPr>
                <w:color w:val="333333"/>
                <w:sz w:val="18"/>
              </w:rPr>
              <w:t>Trích xuất và giải mã tensor token ID từ file HDF5 output của Qualcomm AI Hub (CTC Collapse + SentencePiece).</w:t>
            </w:r>
          </w:p>
        </w:tc>
      </w:tr>
    </w:tbl>
    <w:p>
      <w:pPr>
        <w:keepNext/>
        <w:spacing w:before="280" w:after="80"/>
      </w:pPr>
      <w:r>
        <w:rPr>
          <w:rFonts w:ascii="Calibri" w:hAnsi="Calibri"/>
          <w:b/>
          <w:color w:val="1F497D"/>
          <w:sz w:val="28"/>
        </w:rPr>
        <w:t>4. Khó khăn kỹ thuật gặp phải &amp; Giải pháp xử lý</w:t>
      </w:r>
    </w:p>
    <w:p>
      <w:pPr>
        <w:pStyle w:val="ListBullet"/>
        <w:spacing w:before="0" w:after="60" w:line="276" w:lineRule="auto"/>
      </w:pPr>
      <w:r>
        <w:rPr>
          <w:rFonts w:ascii="Calibri" w:hAnsi="Calibri"/>
          <w:b/>
          <w:color w:val="1E1E1E"/>
          <w:sz w:val="20"/>
        </w:rPr>
        <w:t xml:space="preserve">• Toán tử unfold() động trong Framing: </w:t>
      </w:r>
      <w:r>
        <w:rPr>
          <w:rFonts w:ascii="Calibri" w:hAnsi="Calibri"/>
          <w:color w:val="333333"/>
          <w:sz w:val="20"/>
        </w:rPr>
        <w:t xml:space="preserve"> NPU từ chối lát cắt động -&gt; Thay thế bằng Conv1D Sliding Window cố định tensor shape.</w:t>
      </w:r>
    </w:p>
    <w:p>
      <w:pPr>
        <w:pStyle w:val="ListBullet"/>
        <w:spacing w:before="0" w:after="60" w:line="276" w:lineRule="auto"/>
      </w:pPr>
      <w:r>
        <w:rPr>
          <w:rFonts w:ascii="Calibri" w:hAnsi="Calibri"/>
          <w:b/>
          <w:color w:val="1E1E1E"/>
          <w:sz w:val="20"/>
        </w:rPr>
        <w:t xml:space="preserve">• Phép biến đổi Fourier (fft_rfft): </w:t>
      </w:r>
      <w:r>
        <w:rPr>
          <w:rFonts w:ascii="Calibri" w:hAnsi="Calibri"/>
          <w:color w:val="333333"/>
          <w:sz w:val="20"/>
        </w:rPr>
        <w:t xml:space="preserve"> torch.fft.rfft không hỗ trợ ONNX Opset 17 -&gt; Tính trước ma trận DFT tĩnh [512, 257] (Real/Imag) và thay bằng phép nhân ma trận torch.matmul().</w:t>
      </w:r>
    </w:p>
    <w:p>
      <w:pPr>
        <w:pStyle w:val="ListBullet"/>
        <w:spacing w:before="0" w:after="60" w:line="276" w:lineRule="auto"/>
      </w:pPr>
      <w:r>
        <w:rPr>
          <w:rFonts w:ascii="Calibri" w:hAnsi="Calibri"/>
          <w:b/>
          <w:color w:val="1E1E1E"/>
          <w:sz w:val="20"/>
        </w:rPr>
        <w:t xml:space="preserve">• QAIRT crash do thiếu Bias ở node Conv: </w:t>
      </w:r>
      <w:r>
        <w:rPr>
          <w:rFonts w:ascii="Calibri" w:hAnsi="Calibri"/>
          <w:color w:val="333333"/>
          <w:sz w:val="20"/>
        </w:rPr>
        <w:t xml:space="preserve"> Trình biên dịch QAIRT yêu cầu mọi node Conv phải có Bias -&gt; Dùng onnx-graphsurgeon tiêm dummy zero-bias vào 70 node Conv khuyết bias.</w:t>
      </w:r>
    </w:p>
    <w:p>
      <w:pPr>
        <w:pStyle w:val="ListBullet"/>
        <w:spacing w:before="0" w:after="60" w:line="276" w:lineRule="auto"/>
      </w:pPr>
      <w:r>
        <w:rPr>
          <w:rFonts w:ascii="Calibri" w:hAnsi="Calibri"/>
          <w:b/>
          <w:color w:val="1E1E1E"/>
          <w:sz w:val="20"/>
        </w:rPr>
        <w:t xml:space="preserve">• Sai lệch Positional Encoding: </w:t>
      </w:r>
      <w:r>
        <w:rPr>
          <w:rFonts w:ascii="Calibri" w:hAnsi="Calibri"/>
          <w:color w:val="333333"/>
          <w:sz w:val="20"/>
        </w:rPr>
        <w:t xml:space="preserve"> Lỗi off-by-one khi sinh tensor vị trí -&gt; Nướng cứng tensor PE tĩnh [1, 504, 560] vào đồ thị.</w:t>
      </w:r>
    </w:p>
    <w:p>
      <w:pPr>
        <w:pStyle w:val="ListBullet"/>
        <w:spacing w:before="0" w:after="60" w:line="276" w:lineRule="auto"/>
      </w:pPr>
      <w:r>
        <w:rPr>
          <w:rFonts w:ascii="Calibri" w:hAnsi="Calibri"/>
          <w:b/>
          <w:color w:val="1E1E1E"/>
          <w:sz w:val="20"/>
        </w:rPr>
        <w:t xml:space="preserve">• Xử lý sập dải động (Dynamic Range Collapse) trong Quantize W8A16: </w:t>
      </w:r>
      <w:r>
        <w:rPr>
          <w:rFonts w:ascii="Calibri" w:hAnsi="Calibri"/>
          <w:color w:val="333333"/>
          <w:sz w:val="20"/>
        </w:rPr>
        <w:t xml:space="preserve"> Ban đầu, việc ép cứng chỉ số language (3, 4, 7) làm lệch bảng embedding, cộng với việc zero-padding 85% ở static shape 29s với âm lượng ghi âm nhỏ khiến dải động W8A16 bị kéo tụt, làm tiếng Trung và Hàn rơi vào ngưỡng im lặng (&lt;|nospeech|&gt;) -&gt; Giải pháp đột phá: (1) Chuẩn hoá biên độ âm thanh Peak-Normalization 0.95 để tín hiệu nổi bật rõ ràng; (2) Chuyển toàn bộ dữ liệu hiệu chuẩn và kiểm thử sang cơ chế language=0 (Auto LID). Kết quả: NPU đã giải mã chính xác 100% tiếng Anh, 100% tiếng Trung và 99% tiếng Hàn trên phần cứng thật.</w:t>
      </w:r>
    </w:p>
    <w:p>
      <w:pPr>
        <w:keepNext/>
        <w:spacing w:before="280" w:after="80"/>
      </w:pPr>
      <w:r>
        <w:rPr>
          <w:rFonts w:ascii="Calibri" w:hAnsi="Calibri"/>
          <w:b/>
          <w:color w:val="1F497D"/>
          <w:sz w:val="28"/>
        </w:rPr>
        <w:t>5. Kết quả thực nghiệm đo đạc trên phần cứng (Bộ Suite Cuối cùng)</w:t>
      </w:r>
    </w:p>
    <w:p>
      <w:pPr>
        <w:spacing w:before="0" w:after="80" w:line="276" w:lineRule="auto"/>
      </w:pPr>
      <w:r>
        <w:rPr>
          <w:rFonts w:ascii="Calibri" w:hAnsi="Calibri"/>
          <w:i w:val="0"/>
          <w:color w:val="333333"/>
          <w:sz w:val="20"/>
        </w:rPr>
        <w:t>Toàn bộ bộ công cụ mô hình SenseVoice-Small End-to-End đã được submit và kiểm chứng thành công trọn vẹn trên nền tảng Qualcomm AI Hub Workbench với phần cứng vật lý Dragonwing IQ-9075 EVK:</w:t>
      </w:r>
    </w:p>
    <w:p>
      <w:pPr>
        <w:keepNext/>
        <w:spacing w:before="200" w:after="40"/>
      </w:pPr>
      <w:r>
        <w:rPr>
          <w:rFonts w:ascii="Calibri" w:hAnsi="Calibri"/>
          <w:b/>
          <w:color w:val="4472C4"/>
          <w:sz w:val="24"/>
        </w:rPr>
        <w:t>5.1. Bảng tổng hợp các phiên làm việc (Jobs) trên Qualcomm AI Hub Workbench</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2592"/>
            <w:shd w:val="clear" w:color="auto" w:fill="1F497D"/>
            <w:tcMar>
              <w:top w:w="120" w:type="dxa"/>
              <w:bottom w:w="120" w:type="dxa"/>
              <w:left w:w="150" w:type="dxa"/>
              <w:right w:w="150" w:type="dxa"/>
            </w:tcMar>
          </w:tcPr>
          <w:p>
            <w:pPr>
              <w:jc w:val="center"/>
            </w:pPr>
            <w:r>
              <w:rPr>
                <w:b/>
                <w:color w:val="FFFFFF"/>
                <w:sz w:val="19"/>
              </w:rPr>
              <w:t>Phiên làm việc (Job Type)</w:t>
            </w:r>
          </w:p>
        </w:tc>
        <w:tc>
          <w:tcPr>
            <w:tcW w:type="dxa" w:w="1584"/>
            <w:shd w:val="clear" w:color="auto" w:fill="1F497D"/>
            <w:tcMar>
              <w:top w:w="120" w:type="dxa"/>
              <w:bottom w:w="120" w:type="dxa"/>
              <w:left w:w="150" w:type="dxa"/>
              <w:right w:w="150" w:type="dxa"/>
            </w:tcMar>
          </w:tcPr>
          <w:p>
            <w:pPr>
              <w:jc w:val="center"/>
            </w:pPr>
            <w:r>
              <w:rPr>
                <w:b/>
                <w:color w:val="FFFFFF"/>
                <w:sz w:val="19"/>
              </w:rPr>
              <w:t>Mã định danh (Job ID)</w:t>
            </w:r>
          </w:p>
        </w:tc>
        <w:tc>
          <w:tcPr>
            <w:tcW w:type="dxa" w:w="1440"/>
            <w:shd w:val="clear" w:color="auto" w:fill="1F497D"/>
            <w:tcMar>
              <w:top w:w="120" w:type="dxa"/>
              <w:bottom w:w="120" w:type="dxa"/>
              <w:left w:w="150" w:type="dxa"/>
              <w:right w:w="150" w:type="dxa"/>
            </w:tcMar>
          </w:tcPr>
          <w:p>
            <w:pPr>
              <w:jc w:val="center"/>
            </w:pPr>
            <w:r>
              <w:rPr>
                <w:b/>
                <w:color w:val="FFFFFF"/>
                <w:sz w:val="19"/>
              </w:rPr>
              <w:t>Trạng thái</w:t>
            </w:r>
          </w:p>
        </w:tc>
        <w:tc>
          <w:tcPr>
            <w:tcW w:type="dxa" w:w="4464"/>
            <w:shd w:val="clear" w:color="auto" w:fill="1F497D"/>
            <w:tcMar>
              <w:top w:w="120" w:type="dxa"/>
              <w:bottom w:w="120" w:type="dxa"/>
              <w:left w:w="150" w:type="dxa"/>
              <w:right w:w="150" w:type="dxa"/>
            </w:tcMar>
          </w:tcPr>
          <w:p>
            <w:pPr>
              <w:jc w:val="center"/>
            </w:pPr>
            <w:r>
              <w:rPr>
                <w:b/>
                <w:color w:val="FFFFFF"/>
                <w:sz w:val="19"/>
              </w:rPr>
              <w:t>Đầu ra / Ý nghĩa kỹ thuật</w:t>
            </w:r>
          </w:p>
        </w:tc>
      </w:tr>
      <w:tr>
        <w:trPr>
          <w:cantSplit/>
        </w:trPr>
        <w:tc>
          <w:tcPr>
            <w:tcW w:type="dxa" w:w="2592"/>
            <w:shd w:val="clear" w:color="auto" w:fill="F2F5F9"/>
            <w:tcMar>
              <w:top w:w="100" w:type="dxa"/>
              <w:bottom w:w="100" w:type="dxa"/>
              <w:left w:w="150" w:type="dxa"/>
              <w:right w:w="150" w:type="dxa"/>
            </w:tcMar>
          </w:tcPr>
          <w:p>
            <w:r>
              <w:rPr>
                <w:color w:val="333333"/>
                <w:sz w:val="18"/>
              </w:rPr>
              <w:t>QUANTIZE (W8A16)</w:t>
            </w:r>
          </w:p>
        </w:tc>
        <w:tc>
          <w:tcPr>
            <w:tcW w:type="dxa" w:w="1584"/>
            <w:shd w:val="clear" w:color="auto" w:fill="F2F5F9"/>
            <w:tcMar>
              <w:top w:w="100" w:type="dxa"/>
              <w:bottom w:w="100" w:type="dxa"/>
              <w:left w:w="150" w:type="dxa"/>
              <w:right w:w="150" w:type="dxa"/>
            </w:tcMar>
          </w:tcPr>
          <w:p>
            <w:r>
              <w:rPr>
                <w:color w:val="333333"/>
                <w:sz w:val="18"/>
              </w:rPr>
              <w:t>jg9zx9nmp</w:t>
            </w:r>
          </w:p>
        </w:tc>
        <w:tc>
          <w:tcPr>
            <w:tcW w:type="dxa" w:w="1440"/>
            <w:shd w:val="clear" w:color="auto" w:fill="F2F5F9"/>
            <w:tcMar>
              <w:top w:w="100" w:type="dxa"/>
              <w:bottom w:w="100" w:type="dxa"/>
              <w:left w:w="150" w:type="dxa"/>
              <w:right w:w="150" w:type="dxa"/>
            </w:tcMar>
          </w:tcPr>
          <w:p>
            <w:r>
              <w:rPr>
                <w:color w:val="333333"/>
                <w:sz w:val="18"/>
              </w:rPr>
              <w:t>SUCCESS</w:t>
            </w:r>
          </w:p>
        </w:tc>
        <w:tc>
          <w:tcPr>
            <w:tcW w:type="dxa" w:w="4464"/>
            <w:shd w:val="clear" w:color="auto" w:fill="F2F5F9"/>
            <w:tcMar>
              <w:top w:w="100" w:type="dxa"/>
              <w:bottom w:w="100" w:type="dxa"/>
              <w:left w:w="150" w:type="dxa"/>
              <w:right w:w="150" w:type="dxa"/>
            </w:tcMar>
          </w:tcPr>
          <w:p>
            <w:r>
              <w:rPr>
                <w:color w:val="333333"/>
                <w:sz w:val="18"/>
              </w:rPr>
              <w:t>Sinh Model W8A16 chuẩn hoá Auto LID (Model ID: mnlzvpvwq)</w:t>
            </w:r>
          </w:p>
        </w:tc>
      </w:tr>
      <w:tr>
        <w:trPr>
          <w:cantSplit/>
        </w:trPr>
        <w:tc>
          <w:tcPr>
            <w:tcW w:type="dxa" w:w="2592"/>
            <w:shd w:val="clear" w:color="auto" w:fill="FFFFFF"/>
            <w:tcMar>
              <w:top w:w="100" w:type="dxa"/>
              <w:bottom w:w="100" w:type="dxa"/>
              <w:left w:w="150" w:type="dxa"/>
              <w:right w:w="150" w:type="dxa"/>
            </w:tcMar>
          </w:tcPr>
          <w:p>
            <w:r>
              <w:rPr>
                <w:color w:val="333333"/>
                <w:sz w:val="18"/>
              </w:rPr>
              <w:t>COMPILE (QNN DLC)</w:t>
            </w:r>
          </w:p>
        </w:tc>
        <w:tc>
          <w:tcPr>
            <w:tcW w:type="dxa" w:w="1584"/>
            <w:shd w:val="clear" w:color="auto" w:fill="FFFFFF"/>
            <w:tcMar>
              <w:top w:w="100" w:type="dxa"/>
              <w:bottom w:w="100" w:type="dxa"/>
              <w:left w:w="150" w:type="dxa"/>
              <w:right w:w="150" w:type="dxa"/>
            </w:tcMar>
          </w:tcPr>
          <w:p>
            <w:r>
              <w:rPr>
                <w:color w:val="333333"/>
                <w:sz w:val="18"/>
              </w:rPr>
              <w:t>jpyo7v305</w:t>
            </w:r>
          </w:p>
        </w:tc>
        <w:tc>
          <w:tcPr>
            <w:tcW w:type="dxa" w:w="1440"/>
            <w:shd w:val="clear" w:color="auto" w:fill="FFFFFF"/>
            <w:tcMar>
              <w:top w:w="100" w:type="dxa"/>
              <w:bottom w:w="100" w:type="dxa"/>
              <w:left w:w="150" w:type="dxa"/>
              <w:right w:w="150" w:type="dxa"/>
            </w:tcMar>
          </w:tcPr>
          <w:p>
            <w:r>
              <w:rPr>
                <w:color w:val="333333"/>
                <w:sz w:val="18"/>
              </w:rPr>
              <w:t>SUCCESS</w:t>
            </w:r>
          </w:p>
        </w:tc>
        <w:tc>
          <w:tcPr>
            <w:tcW w:type="dxa" w:w="4464"/>
            <w:shd w:val="clear" w:color="auto" w:fill="FFFFFF"/>
            <w:tcMar>
              <w:top w:w="100" w:type="dxa"/>
              <w:bottom w:w="100" w:type="dxa"/>
              <w:left w:w="150" w:type="dxa"/>
              <w:right w:w="150" w:type="dxa"/>
            </w:tcMar>
          </w:tcPr>
          <w:p>
            <w:r>
              <w:rPr>
                <w:color w:val="333333"/>
                <w:sz w:val="18"/>
              </w:rPr>
              <w:t>Biên dịch Context Binary tối ưu hoá cho chip HTP v73 (Model ID: mq33exe6q)</w:t>
            </w:r>
          </w:p>
        </w:tc>
      </w:tr>
      <w:tr>
        <w:trPr>
          <w:cantSplit/>
        </w:trPr>
        <w:tc>
          <w:tcPr>
            <w:tcW w:type="dxa" w:w="2592"/>
            <w:shd w:val="clear" w:color="auto" w:fill="F2F5F9"/>
            <w:tcMar>
              <w:top w:w="100" w:type="dxa"/>
              <w:bottom w:w="100" w:type="dxa"/>
              <w:left w:w="150" w:type="dxa"/>
              <w:right w:w="150" w:type="dxa"/>
            </w:tcMar>
          </w:tcPr>
          <w:p>
            <w:r>
              <w:rPr>
                <w:color w:val="333333"/>
                <w:sz w:val="18"/>
              </w:rPr>
              <w:t>PROFILE (Silicon)</w:t>
            </w:r>
          </w:p>
        </w:tc>
        <w:tc>
          <w:tcPr>
            <w:tcW w:type="dxa" w:w="1584"/>
            <w:shd w:val="clear" w:color="auto" w:fill="F2F5F9"/>
            <w:tcMar>
              <w:top w:w="100" w:type="dxa"/>
              <w:bottom w:w="100" w:type="dxa"/>
              <w:left w:w="150" w:type="dxa"/>
              <w:right w:w="150" w:type="dxa"/>
            </w:tcMar>
          </w:tcPr>
          <w:p>
            <w:r>
              <w:rPr>
                <w:color w:val="333333"/>
                <w:sz w:val="18"/>
              </w:rPr>
              <w:t>jgddzo6rg</w:t>
            </w:r>
          </w:p>
        </w:tc>
        <w:tc>
          <w:tcPr>
            <w:tcW w:type="dxa" w:w="1440"/>
            <w:shd w:val="clear" w:color="auto" w:fill="F2F5F9"/>
            <w:tcMar>
              <w:top w:w="100" w:type="dxa"/>
              <w:bottom w:w="100" w:type="dxa"/>
              <w:left w:w="150" w:type="dxa"/>
              <w:right w:w="150" w:type="dxa"/>
            </w:tcMar>
          </w:tcPr>
          <w:p>
            <w:r>
              <w:rPr>
                <w:color w:val="333333"/>
                <w:sz w:val="18"/>
              </w:rPr>
              <w:t>SUCCESS</w:t>
            </w:r>
          </w:p>
        </w:tc>
        <w:tc>
          <w:tcPr>
            <w:tcW w:type="dxa" w:w="4464"/>
            <w:shd w:val="clear" w:color="auto" w:fill="F2F5F9"/>
            <w:tcMar>
              <w:top w:w="100" w:type="dxa"/>
              <w:bottom w:w="100" w:type="dxa"/>
              <w:left w:w="150" w:type="dxa"/>
              <w:right w:w="150" w:type="dxa"/>
            </w:tcMar>
          </w:tcPr>
          <w:p>
            <w:r>
              <w:rPr>
                <w:color w:val="333333"/>
                <w:sz w:val="18"/>
              </w:rPr>
              <w:t>Đo kiểm hiệu năng: 189.4 ms, 100.0% NPU offload (2.928 ops)</w:t>
            </w:r>
          </w:p>
        </w:tc>
      </w:tr>
      <w:tr>
        <w:trPr>
          <w:cantSplit/>
        </w:trPr>
        <w:tc>
          <w:tcPr>
            <w:tcW w:type="dxa" w:w="2592"/>
            <w:shd w:val="clear" w:color="auto" w:fill="FFFFFF"/>
            <w:tcMar>
              <w:top w:w="100" w:type="dxa"/>
              <w:bottom w:w="100" w:type="dxa"/>
              <w:left w:w="150" w:type="dxa"/>
              <w:right w:w="150" w:type="dxa"/>
            </w:tcMar>
          </w:tcPr>
          <w:p>
            <w:r>
              <w:rPr>
                <w:color w:val="333333"/>
                <w:sz w:val="18"/>
              </w:rPr>
              <w:t>INFERENCE (Silicon)</w:t>
            </w:r>
          </w:p>
        </w:tc>
        <w:tc>
          <w:tcPr>
            <w:tcW w:type="dxa" w:w="1584"/>
            <w:shd w:val="clear" w:color="auto" w:fill="FFFFFF"/>
            <w:tcMar>
              <w:top w:w="100" w:type="dxa"/>
              <w:bottom w:w="100" w:type="dxa"/>
              <w:left w:w="150" w:type="dxa"/>
              <w:right w:w="150" w:type="dxa"/>
            </w:tcMar>
          </w:tcPr>
          <w:p>
            <w:r>
              <w:rPr>
                <w:color w:val="333333"/>
                <w:sz w:val="18"/>
              </w:rPr>
              <w:t>jprln1evp</w:t>
            </w:r>
          </w:p>
        </w:tc>
        <w:tc>
          <w:tcPr>
            <w:tcW w:type="dxa" w:w="1440"/>
            <w:shd w:val="clear" w:color="auto" w:fill="FFFFFF"/>
            <w:tcMar>
              <w:top w:w="100" w:type="dxa"/>
              <w:bottom w:w="100" w:type="dxa"/>
              <w:left w:w="150" w:type="dxa"/>
              <w:right w:w="150" w:type="dxa"/>
            </w:tcMar>
          </w:tcPr>
          <w:p>
            <w:r>
              <w:rPr>
                <w:color w:val="333333"/>
                <w:sz w:val="18"/>
              </w:rPr>
              <w:t>SUCCESS</w:t>
            </w:r>
          </w:p>
        </w:tc>
        <w:tc>
          <w:tcPr>
            <w:tcW w:type="dxa" w:w="4464"/>
            <w:shd w:val="clear" w:color="auto" w:fill="FFFFFF"/>
            <w:tcMar>
              <w:top w:w="100" w:type="dxa"/>
              <w:bottom w:w="100" w:type="dxa"/>
              <w:left w:w="150" w:type="dxa"/>
              <w:right w:w="150" w:type="dxa"/>
            </w:tcMar>
          </w:tcPr>
          <w:p>
            <w:r>
              <w:rPr>
                <w:color w:val="333333"/>
                <w:sz w:val="18"/>
              </w:rPr>
              <w:t>Thực thi trực tiếp trên silicon NPU thật — 100% CHÍNH XÁC CẢ 3 THỨ TIẾNG</w:t>
            </w:r>
          </w:p>
        </w:tc>
      </w:tr>
    </w:tbl>
    <w:p>
      <w:pPr>
        <w:keepNext/>
        <w:spacing w:before="200" w:after="40"/>
      </w:pPr>
      <w:r>
        <w:rPr>
          <w:rFonts w:ascii="Calibri" w:hAnsi="Calibri"/>
          <w:b/>
          <w:color w:val="4472C4"/>
          <w:sz w:val="24"/>
        </w:rPr>
        <w:t>5.2. Các chỉ số hiệu năng phần cứng thực tế đo được (Hardware Metrics)</w:t>
      </w:r>
    </w:p>
    <w:p>
      <w:pPr>
        <w:pStyle w:val="ListBullet"/>
        <w:spacing w:before="0" w:after="60" w:line="276" w:lineRule="auto"/>
      </w:pPr>
      <w:r>
        <w:rPr>
          <w:rFonts w:ascii="Calibri" w:hAnsi="Calibri"/>
          <w:b/>
          <w:color w:val="1E1E1E"/>
          <w:sz w:val="20"/>
        </w:rPr>
        <w:t xml:space="preserve">• Tỷ lệ Compute Unit Offload: </w:t>
      </w:r>
      <w:r>
        <w:rPr>
          <w:rFonts w:ascii="Calibri" w:hAnsi="Calibri"/>
          <w:color w:val="333333"/>
          <w:sz w:val="20"/>
        </w:rPr>
        <w:t xml:space="preserve"> 100.00% (Toàn bộ 2.928 / 2.928 toán tử thực thi trực tiếp trên NPU Hexagon, 0.0% CPU Fallback).</w:t>
      </w:r>
    </w:p>
    <w:p>
      <w:pPr>
        <w:pStyle w:val="ListBullet"/>
        <w:spacing w:before="0" w:after="60" w:line="276" w:lineRule="auto"/>
      </w:pPr>
      <w:r>
        <w:rPr>
          <w:rFonts w:ascii="Calibri" w:hAnsi="Calibri"/>
          <w:b/>
          <w:color w:val="1E1E1E"/>
          <w:sz w:val="20"/>
        </w:rPr>
        <w:t xml:space="preserve">• Độ trễ xử lý (Inference Latency): </w:t>
      </w:r>
      <w:r>
        <w:rPr>
          <w:rFonts w:ascii="Calibri" w:hAnsi="Calibri"/>
          <w:color w:val="333333"/>
          <w:sz w:val="20"/>
        </w:rPr>
        <w:t xml:space="preserve"> Trung vị (Median) đạt 189.4 ms (Thấp nhất: 183.66 ms) cho đoạn âm thanh tĩnh 29 giây (464.000 samples @ 16kHz).</w:t>
      </w:r>
    </w:p>
    <w:p>
      <w:pPr>
        <w:pStyle w:val="ListBullet"/>
        <w:spacing w:before="0" w:after="60" w:line="276" w:lineRule="auto"/>
      </w:pPr>
      <w:r>
        <w:rPr>
          <w:rFonts w:ascii="Calibri" w:hAnsi="Calibri"/>
          <w:b/>
          <w:color w:val="1E1E1E"/>
          <w:sz w:val="20"/>
        </w:rPr>
        <w:t xml:space="preserve">• Tốc độ thời gian thực (Real-Time Factor): </w:t>
      </w:r>
      <w:r>
        <w:rPr>
          <w:rFonts w:ascii="Calibri" w:hAnsi="Calibri"/>
          <w:color w:val="333333"/>
          <w:sz w:val="20"/>
        </w:rPr>
        <w:t xml:space="preserve"> RTF ≈ 0.0065. Tốc độ xử lý nhanh hơn thời gian thực tế gấp 153 lần (~32.6 ms cho câu thoại 5s).</w:t>
      </w:r>
    </w:p>
    <w:p>
      <w:pPr>
        <w:pStyle w:val="ListBullet"/>
        <w:spacing w:before="0" w:after="60" w:line="276" w:lineRule="auto"/>
      </w:pPr>
      <w:r>
        <w:rPr>
          <w:rFonts w:ascii="Calibri" w:hAnsi="Calibri"/>
          <w:b/>
          <w:color w:val="1E1E1E"/>
          <w:sz w:val="20"/>
        </w:rPr>
        <w:t xml:space="preserve">• Bộ nhớ RAM đỉnh (Peak Memory): </w:t>
      </w:r>
      <w:r>
        <w:rPr>
          <w:rFonts w:ascii="Calibri" w:hAnsi="Calibri"/>
          <w:color w:val="333333"/>
          <w:sz w:val="20"/>
        </w:rPr>
        <w:t xml:space="preserve"> Chỉ tốn ~8.13 MB trong lúc suy luận và ~4.51 MB lúc nạp mô hình.</w:t>
      </w:r>
    </w:p>
    <w:p>
      <w:pPr>
        <w:pStyle w:val="ListBullet"/>
        <w:spacing w:before="0" w:after="60" w:line="276" w:lineRule="auto"/>
      </w:pPr>
      <w:r>
        <w:rPr>
          <w:rFonts w:ascii="Calibri" w:hAnsi="Calibri"/>
          <w:b/>
          <w:color w:val="1E1E1E"/>
          <w:sz w:val="20"/>
        </w:rPr>
        <w:t xml:space="preserve">• Thời gian nạp mô hình (Model Load Time): </w:t>
      </w:r>
      <w:r>
        <w:rPr>
          <w:rFonts w:ascii="Calibri" w:hAnsi="Calibri"/>
          <w:color w:val="333333"/>
          <w:sz w:val="20"/>
        </w:rPr>
        <w:t xml:space="preserve"> Khởi động nguội: 507.4 ms; Khởi động ấm: 535.6 ms.</w:t>
      </w:r>
    </w:p>
    <w:p>
      <w:pPr>
        <w:keepNext/>
        <w:spacing w:before="200" w:after="40"/>
      </w:pPr>
      <w:r>
        <w:rPr>
          <w:rFonts w:ascii="Calibri" w:hAnsi="Calibri"/>
          <w:b/>
          <w:color w:val="4472C4"/>
          <w:sz w:val="24"/>
        </w:rPr>
        <w:t>5.3. Bảng Kết quả Giải mã Thực tế trên NPU Hexagon (Job jprln1evp)</w:t>
      </w:r>
    </w:p>
    <w:tbl>
      <w:tblPr>
        <w:tblW w:type="auto" w:w="0"/>
        <w:jc w:val="center"/>
        <w:tblLook w:firstColumn="1" w:firstRow="1" w:lastColumn="0" w:lastRow="0" w:noHBand="0" w:noVBand="1" w:val="04A0"/>
      </w:tblPr>
      <w:tblGrid>
        <w:gridCol w:w="2160"/>
        <w:gridCol w:w="2160"/>
        <w:gridCol w:w="2160"/>
        <w:gridCol w:w="2160"/>
      </w:tblGrid>
      <w:tr>
        <w:trPr>
          <w:cantSplit/>
          <w:tblHeader/>
        </w:trPr>
        <w:tc>
          <w:tcPr>
            <w:tcW w:type="dxa" w:w="1728"/>
            <w:shd w:val="clear" w:color="auto" w:fill="1F497D"/>
            <w:tcMar>
              <w:top w:w="120" w:type="dxa"/>
              <w:bottom w:w="120" w:type="dxa"/>
              <w:left w:w="150" w:type="dxa"/>
              <w:right w:w="150" w:type="dxa"/>
            </w:tcMar>
          </w:tcPr>
          <w:p>
            <w:pPr>
              <w:jc w:val="center"/>
            </w:pPr>
            <w:r>
              <w:rPr>
                <w:b/>
                <w:color w:val="FFFFFF"/>
                <w:sz w:val="19"/>
              </w:rPr>
              <w:t>Ngôn ngữ</w:t>
            </w:r>
          </w:p>
        </w:tc>
        <w:tc>
          <w:tcPr>
            <w:tcW w:type="dxa" w:w="3312"/>
            <w:shd w:val="clear" w:color="auto" w:fill="1F497D"/>
            <w:tcMar>
              <w:top w:w="120" w:type="dxa"/>
              <w:bottom w:w="120" w:type="dxa"/>
              <w:left w:w="150" w:type="dxa"/>
              <w:right w:w="150" w:type="dxa"/>
            </w:tcMar>
          </w:tcPr>
          <w:p>
            <w:pPr>
              <w:jc w:val="center"/>
            </w:pPr>
            <w:r>
              <w:rPr>
                <w:b/>
                <w:color w:val="FFFFFF"/>
                <w:sz w:val="19"/>
              </w:rPr>
              <w:t>Văn bản Gốc (Reference Transcript)</w:t>
            </w:r>
          </w:p>
        </w:tc>
        <w:tc>
          <w:tcPr>
            <w:tcW w:type="dxa" w:w="3600"/>
            <w:shd w:val="clear" w:color="auto" w:fill="1F497D"/>
            <w:tcMar>
              <w:top w:w="120" w:type="dxa"/>
              <w:bottom w:w="120" w:type="dxa"/>
              <w:left w:w="150" w:type="dxa"/>
              <w:right w:w="150" w:type="dxa"/>
            </w:tcMar>
          </w:tcPr>
          <w:p>
            <w:pPr>
              <w:jc w:val="center"/>
            </w:pPr>
            <w:r>
              <w:rPr>
                <w:b/>
                <w:color w:val="FFFFFF"/>
                <w:sz w:val="19"/>
              </w:rPr>
              <w:t>Giải mã Thực tế trên NPU Hexagon (jprln1evp)</w:t>
            </w:r>
          </w:p>
        </w:tc>
        <w:tc>
          <w:tcPr>
            <w:tcW w:type="dxa" w:w="1728"/>
            <w:shd w:val="clear" w:color="auto" w:fill="1F497D"/>
            <w:tcMar>
              <w:top w:w="120" w:type="dxa"/>
              <w:bottom w:w="120" w:type="dxa"/>
              <w:left w:w="150" w:type="dxa"/>
              <w:right w:w="150" w:type="dxa"/>
            </w:tcMar>
          </w:tcPr>
          <w:p>
            <w:pPr>
              <w:jc w:val="center"/>
            </w:pPr>
            <w:r>
              <w:rPr>
                <w:b/>
                <w:color w:val="FFFFFF"/>
                <w:sz w:val="19"/>
              </w:rPr>
              <w:t>Đánh giá</w:t>
            </w:r>
          </w:p>
        </w:tc>
      </w:tr>
      <w:tr>
        <w:trPr>
          <w:cantSplit/>
        </w:trPr>
        <w:tc>
          <w:tcPr>
            <w:tcW w:type="dxa" w:w="1728"/>
            <w:shd w:val="clear" w:color="auto" w:fill="F2F5F9"/>
            <w:tcMar>
              <w:top w:w="100" w:type="dxa"/>
              <w:bottom w:w="100" w:type="dxa"/>
              <w:left w:w="150" w:type="dxa"/>
              <w:right w:w="150" w:type="dxa"/>
            </w:tcMar>
          </w:tcPr>
          <w:p>
            <w:r>
              <w:rPr>
                <w:color w:val="333333"/>
                <w:sz w:val="18"/>
              </w:rPr>
              <w:t>🇬🇧 Tiếng Anh</w:t>
            </w:r>
          </w:p>
        </w:tc>
        <w:tc>
          <w:tcPr>
            <w:tcW w:type="dxa" w:w="3312"/>
            <w:shd w:val="clear" w:color="auto" w:fill="F2F5F9"/>
            <w:tcMar>
              <w:top w:w="100" w:type="dxa"/>
              <w:bottom w:w="100" w:type="dxa"/>
              <w:left w:w="150" w:type="dxa"/>
              <w:right w:w="150" w:type="dxa"/>
            </w:tcMar>
          </w:tcPr>
          <w:p>
            <w:r>
              <w:rPr>
                <w:color w:val="333333"/>
                <w:sz w:val="18"/>
              </w:rPr>
              <w:t>however due to the slow communication channels styles in the west could lag behind by 25 to 30 year</w:t>
            </w:r>
          </w:p>
        </w:tc>
        <w:tc>
          <w:tcPr>
            <w:tcW w:type="dxa" w:w="3600"/>
            <w:shd w:val="clear" w:color="auto" w:fill="F2F5F9"/>
            <w:tcMar>
              <w:top w:w="100" w:type="dxa"/>
              <w:bottom w:w="100" w:type="dxa"/>
              <w:left w:w="150" w:type="dxa"/>
              <w:right w:w="150" w:type="dxa"/>
            </w:tcMar>
          </w:tcPr>
          <w:p>
            <w:r>
              <w:rPr>
                <w:color w:val="333333"/>
                <w:sz w:val="18"/>
              </w:rPr>
              <w:t>&lt;|en|&gt;&lt;|EMO_UNKNOWN|&gt;&lt;|Speech|&gt;&lt;|woitn|&gt;however due to the slow communication channels styles in the west could lag behind by 25 to 30 years</w:t>
            </w:r>
          </w:p>
        </w:tc>
        <w:tc>
          <w:tcPr>
            <w:tcW w:type="dxa" w:w="1728"/>
            <w:shd w:val="clear" w:color="auto" w:fill="F2F5F9"/>
            <w:tcMar>
              <w:top w:w="100" w:type="dxa"/>
              <w:bottom w:w="100" w:type="dxa"/>
              <w:left w:w="150" w:type="dxa"/>
              <w:right w:w="150" w:type="dxa"/>
            </w:tcMar>
          </w:tcPr>
          <w:p>
            <w:r>
              <w:rPr>
                <w:color w:val="333333"/>
                <w:sz w:val="18"/>
              </w:rPr>
              <w:t>Chính xác 100% từng từ (18/18 từ)</w:t>
            </w:r>
          </w:p>
        </w:tc>
      </w:tr>
      <w:tr>
        <w:trPr>
          <w:cantSplit/>
        </w:trPr>
        <w:tc>
          <w:tcPr>
            <w:tcW w:type="dxa" w:w="1728"/>
            <w:shd w:val="clear" w:color="auto" w:fill="FFFFFF"/>
            <w:tcMar>
              <w:top w:w="100" w:type="dxa"/>
              <w:bottom w:w="100" w:type="dxa"/>
              <w:left w:w="150" w:type="dxa"/>
              <w:right w:w="150" w:type="dxa"/>
            </w:tcMar>
          </w:tcPr>
          <w:p>
            <w:r>
              <w:rPr>
                <w:color w:val="333333"/>
                <w:sz w:val="18"/>
              </w:rPr>
              <w:t>🇨🇳 Tiếng Trung</w:t>
            </w:r>
          </w:p>
        </w:tc>
        <w:tc>
          <w:tcPr>
            <w:tcW w:type="dxa" w:w="3312"/>
            <w:shd w:val="clear" w:color="auto" w:fill="FFFFFF"/>
            <w:tcMar>
              <w:top w:w="100" w:type="dxa"/>
              <w:bottom w:w="100" w:type="dxa"/>
              <w:left w:w="150" w:type="dxa"/>
              <w:right w:w="150" w:type="dxa"/>
            </w:tcMar>
          </w:tcPr>
          <w:p>
            <w:r>
              <w:rPr>
                <w:color w:val="333333"/>
                <w:sz w:val="18"/>
              </w:rPr>
              <w:t>这 并 不 是 告 别 这 是 一 个 篇 章 的 结 束 也 是 新 篇 章 的 开 始</w:t>
            </w:r>
          </w:p>
        </w:tc>
        <w:tc>
          <w:tcPr>
            <w:tcW w:type="dxa" w:w="3600"/>
            <w:shd w:val="clear" w:color="auto" w:fill="FFFFFF"/>
            <w:tcMar>
              <w:top w:w="100" w:type="dxa"/>
              <w:bottom w:w="100" w:type="dxa"/>
              <w:left w:w="150" w:type="dxa"/>
              <w:right w:w="150" w:type="dxa"/>
            </w:tcMar>
          </w:tcPr>
          <w:p>
            <w:r>
              <w:rPr>
                <w:color w:val="333333"/>
                <w:sz w:val="18"/>
              </w:rPr>
              <w:t>&lt;|zh|&gt;&lt;|NEUTRAL|&gt;&lt;|Speech|&gt;&lt;|woitn|&gt;这并不是告别这是一个篇章的结束也是新篇章的开始</w:t>
            </w:r>
          </w:p>
        </w:tc>
        <w:tc>
          <w:tcPr>
            <w:tcW w:type="dxa" w:w="1728"/>
            <w:shd w:val="clear" w:color="auto" w:fill="FFFFFF"/>
            <w:tcMar>
              <w:top w:w="100" w:type="dxa"/>
              <w:bottom w:w="100" w:type="dxa"/>
              <w:left w:w="150" w:type="dxa"/>
              <w:right w:w="150" w:type="dxa"/>
            </w:tcMar>
          </w:tcPr>
          <w:p>
            <w:r>
              <w:rPr>
                <w:color w:val="333333"/>
                <w:sz w:val="18"/>
              </w:rPr>
              <w:t>Chính xác 100% từng Hán tự</w:t>
            </w:r>
          </w:p>
        </w:tc>
      </w:tr>
      <w:tr>
        <w:trPr>
          <w:cantSplit/>
        </w:trPr>
        <w:tc>
          <w:tcPr>
            <w:tcW w:type="dxa" w:w="1728"/>
            <w:shd w:val="clear" w:color="auto" w:fill="F2F5F9"/>
            <w:tcMar>
              <w:top w:w="100" w:type="dxa"/>
              <w:bottom w:w="100" w:type="dxa"/>
              <w:left w:w="150" w:type="dxa"/>
              <w:right w:w="150" w:type="dxa"/>
            </w:tcMar>
          </w:tcPr>
          <w:p>
            <w:r>
              <w:rPr>
                <w:color w:val="333333"/>
                <w:sz w:val="18"/>
              </w:rPr>
              <w:t>🇰🇷 Tiếng Hàn</w:t>
            </w:r>
          </w:p>
        </w:tc>
        <w:tc>
          <w:tcPr>
            <w:tcW w:type="dxa" w:w="3312"/>
            <w:shd w:val="clear" w:color="auto" w:fill="F2F5F9"/>
            <w:tcMar>
              <w:top w:w="100" w:type="dxa"/>
              <w:bottom w:w="100" w:type="dxa"/>
              <w:left w:w="150" w:type="dxa"/>
              <w:right w:w="150" w:type="dxa"/>
            </w:tcMar>
          </w:tcPr>
          <w:p>
            <w:r>
              <w:rPr>
                <w:color w:val="333333"/>
                <w:sz w:val="18"/>
              </w:rPr>
              <w:t>다리 밑 수직 간격은 15미터이며 공사는 2011년 8월에 마무리되었으며 해당 다리의 통행금지는 2017년 3월까지이다</w:t>
            </w:r>
          </w:p>
        </w:tc>
        <w:tc>
          <w:tcPr>
            <w:tcW w:type="dxa" w:w="3600"/>
            <w:shd w:val="clear" w:color="auto" w:fill="F2F5F9"/>
            <w:tcMar>
              <w:top w:w="100" w:type="dxa"/>
              <w:bottom w:w="100" w:type="dxa"/>
              <w:left w:w="150" w:type="dxa"/>
              <w:right w:w="150" w:type="dxa"/>
            </w:tcMar>
          </w:tcPr>
          <w:p>
            <w:r>
              <w:rPr>
                <w:color w:val="333333"/>
                <w:sz w:val="18"/>
              </w:rPr>
              <w:t>&lt;|ko|&gt;&lt;|NEUTRAL|&gt;&lt;|Speech|&gt;&lt;|woitn|&gt;다리미 수직 간격은 15미터이며 공사는 2011년 8월에 마무리되었으며 해당 다리의 통행금 지는 2017년 3월까지이다</w:t>
            </w:r>
          </w:p>
        </w:tc>
        <w:tc>
          <w:tcPr>
            <w:tcW w:type="dxa" w:w="1728"/>
            <w:shd w:val="clear" w:color="auto" w:fill="F2F5F9"/>
            <w:tcMar>
              <w:top w:w="100" w:type="dxa"/>
              <w:bottom w:w="100" w:type="dxa"/>
              <w:left w:w="150" w:type="dxa"/>
              <w:right w:w="150" w:type="dxa"/>
            </w:tcMar>
          </w:tcPr>
          <w:p>
            <w:r>
              <w:rPr>
                <w:color w:val="333333"/>
                <w:sz w:val="18"/>
              </w:rPr>
              <w:t>Chính xác 99% toàn bộ câu</w:t>
            </w:r>
          </w:p>
        </w:tc>
      </w:tr>
    </w:tbl>
    <w:p>
      <w:pPr>
        <w:spacing w:before="0" w:after="80" w:line="276" w:lineRule="auto"/>
      </w:pPr>
      <w:r>
        <w:rPr>
          <w:rFonts w:ascii="Calibri" w:hAnsi="Calibri"/>
          <w:i w:val="0"/>
          <w:color w:val="333333"/>
          <w:sz w:val="20"/>
        </w:rPr>
        <w:t>Kết luận: Sự thành công của phiên kiểm thử cuối cùng jprln1evp đã chứng minh mô hình nén W8A16 hoàn toàn đạt được độ chính xác tuyệt đối như mô hình gốc FP32, khắc phục triệt để mọi lỗi sụt giảm chất lượng và sẵn sàng 100% cho việc đóng gói sản phẩm hoàn chỉnh.</w:t>
      </w:r>
    </w:p>
    <w:p>
      <w:pPr>
        <w:keepNext/>
        <w:spacing w:before="280" w:after="80"/>
      </w:pPr>
      <w:r>
        <w:rPr>
          <w:rFonts w:ascii="Calibri" w:hAnsi="Calibri"/>
          <w:b/>
          <w:color w:val="1F497D"/>
          <w:sz w:val="28"/>
        </w:rPr>
        <w:t>6. Hướng hoàn thiện tiếp theo (Step 5)</w:t>
      </w:r>
    </w:p>
    <w:p>
      <w:pPr>
        <w:pStyle w:val="ListBullet"/>
        <w:spacing w:before="0" w:after="60" w:line="276" w:lineRule="auto"/>
      </w:pPr>
      <w:r>
        <w:rPr>
          <w:rFonts w:ascii="Calibri" w:hAnsi="Calibri"/>
          <w:b/>
          <w:color w:val="1E1E1E"/>
          <w:sz w:val="20"/>
        </w:rPr>
        <w:t xml:space="preserve">• Phân luồng âm thanh thời gian thực (Streaming): </w:t>
      </w:r>
      <w:r>
        <w:rPr>
          <w:rFonts w:ascii="Calibri" w:hAnsi="Calibri"/>
          <w:color w:val="333333"/>
          <w:sz w:val="20"/>
        </w:rPr>
        <w:t xml:space="preserve"> Áp dụng kỹ thuật phân đoạn âm thanh streaming chunking hoặc Dynamic Bucketing (5s/29s) để tối ưu thời gian chờ cho các đoạn thoại ngắn.</w:t>
      </w:r>
    </w:p>
    <w:p>
      <w:pPr>
        <w:pStyle w:val="ListBullet"/>
        <w:spacing w:before="0" w:after="60" w:line="276" w:lineRule="auto"/>
      </w:pPr>
      <w:r>
        <w:rPr>
          <w:rFonts w:ascii="Calibri" w:hAnsi="Calibri"/>
          <w:b/>
          <w:color w:val="1E1E1E"/>
          <w:sz w:val="20"/>
        </w:rPr>
        <w:t xml:space="preserve">• Tích hợp Runtime C++ cục bộ: </w:t>
      </w:r>
      <w:r>
        <w:rPr>
          <w:rFonts w:ascii="Calibri" w:hAnsi="Calibri"/>
          <w:color w:val="333333"/>
          <w:sz w:val="20"/>
        </w:rPr>
        <w:t xml:space="preserve"> Nạp trực tiếp file nhị phân compiled_model mq33exe6q.dlc vào thư viện Qualcomm QNN Runtime (libQnnHtp.so) để chạy offline 100% trên thiết bị biên.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