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200"/>
        <w:jc w:val="left"/>
      </w:pPr>
      <w:r>
        <w:rPr>
          <w:rFonts w:ascii="Arial" w:cs="Arial" w:eastAsia="Arial" w:hAnsi="Arial"/>
          <w:sz w:val="22"/>
          <w:szCs w:val="22"/>
        </w:rPr>
        <w:t xml:space="preserve"/>
      </w:r>
    </w:p>
    <w:p>
      <w:pPr>
        <w:spacing w:before="0" w:after="60"/>
      </w:pPr>
      <w:r>
        <w:rPr>
          <w:rFonts w:ascii="Arial" w:cs="Arial" w:eastAsia="Arial" w:hAnsi="Arial"/>
          <w:b/>
          <w:bCs/>
          <w:color w:val="00B4A6"/>
          <w:sz w:val="20"/>
          <w:szCs w:val="20"/>
        </w:rPr>
        <w:t xml:space="preserve">ĐỀ XUẤT SẢN PHẨM — Q2 2026</w:t>
      </w:r>
    </w:p>
    <w:p>
      <w:pPr>
        <w:spacing w:before="0" w:after="40"/>
      </w:pPr>
      <w:r>
        <w:rPr>
          <w:rFonts w:ascii="Arial" w:cs="Arial" w:eastAsia="Arial" w:hAnsi="Arial"/>
          <w:b/>
          <w:bCs/>
          <w:color w:val="0D1B3E"/>
          <w:sz w:val="52"/>
          <w:szCs w:val="52"/>
        </w:rPr>
        <w:t xml:space="preserve">Xây dựng Fulltime Driver Pool</w:t>
      </w:r>
    </w:p>
    <w:p>
      <w:pPr>
        <w:spacing w:before="0" w:after="60"/>
      </w:pPr>
      <w:r>
        <w:rPr>
          <w:rFonts w:ascii="Arial" w:cs="Arial" w:eastAsia="Arial" w:hAnsi="Arial"/>
          <w:color w:val="6B7280"/>
          <w:sz w:val="24"/>
          <w:szCs w:val="24"/>
        </w:rPr>
        <w:t xml:space="preserve">Cơ chế vận hành tài xế có hợp đồng lao động &amp; BHXH — tách biệt hoàn toàn khỏi pool freelance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7"/>
        <w:gridCol w:w="2377"/>
      </w:tblGrid>
      <w:tr>
        <w:tc>
          <w:tcPr>
            <w:tcW w:type="dxa" w:w="2376"/>
            <w:tcBorders>
              <w:top w:val="none" w:color="FFFFFF" w:sz="0"/>
              <w:left w:val="none" w:color="FFFFFF" w:sz="0"/>
              <w:bottom w:val="none" w:color="FFFFFF" w:sz="0"/>
              <w:right w:val="none" w:color="FFFFFF" w:sz="0"/>
            </w:tcBorders>
            <w:shd w:fill="0D1B3E" w:val="clear"/>
            <w:tcMar>
              <w:top w:type="dxa" w:w="100"/>
              <w:left w:type="dxa" w:w="140"/>
              <w:bottom w:type="dxa" w:w="100"/>
              <w:right w:type="dxa" w:w="140"/>
            </w:tcMar>
            <w:vAlign w:val="top"/>
          </w:tcPr>
          <w:p>
            <w:pPr>
              <w:spacing w:before="80" w:after="80"/>
              <w:jc w:val="center"/>
            </w:pPr>
            <w:r>
              <w:rPr>
                <w:rFonts w:ascii="Arial" w:cs="Arial" w:eastAsia="Arial" w:hAnsi="Arial"/>
                <w:b/>
                <w:bCs/>
                <w:color w:val="FFFFFF"/>
                <w:sz w:val="20"/>
                <w:szCs w:val="20"/>
              </w:rPr>
              <w:t xml:space="preserve">Team: Ops</w:t>
            </w:r>
          </w:p>
        </w:tc>
        <w:tc>
          <w:tcPr>
            <w:tcW w:type="dxa" w:w="2376"/>
            <w:tcBorders>
              <w:top w:val="none" w:color="FFFFFF" w:sz="0"/>
              <w:left w:val="none" w:color="FFFFFF" w:sz="0"/>
              <w:bottom w:val="none" w:color="FFFFFF" w:sz="0"/>
              <w:right w:val="none" w:color="FFFFFF" w:sz="0"/>
            </w:tcBorders>
            <w:shd w:fill="00B4A6" w:val="clear"/>
            <w:tcMar>
              <w:top w:type="dxa" w:w="100"/>
              <w:left w:type="dxa" w:w="140"/>
              <w:bottom w:type="dxa" w:w="100"/>
              <w:right w:type="dxa" w:w="140"/>
            </w:tcMar>
            <w:vAlign w:val="top"/>
          </w:tcPr>
          <w:p>
            <w:pPr>
              <w:spacing w:before="80" w:after="80"/>
              <w:jc w:val="center"/>
            </w:pPr>
            <w:r>
              <w:rPr>
                <w:rFonts w:ascii="Arial" w:cs="Arial" w:eastAsia="Arial" w:hAnsi="Arial"/>
                <w:b/>
                <w:bCs/>
                <w:color w:val="FFFFFF"/>
                <w:sz w:val="20"/>
                <w:szCs w:val="20"/>
              </w:rPr>
              <w:t xml:space="preserve">Squad: Drivers</w:t>
            </w:r>
          </w:p>
        </w:tc>
        <w:tc>
          <w:tcPr>
            <w:tcW w:type="dxa" w:w="2377"/>
            <w:tcBorders>
              <w:top w:val="none" w:color="FFFFFF" w:sz="0"/>
              <w:left w:val="none" w:color="FFFFFF" w:sz="0"/>
              <w:bottom w:val="none" w:color="FFFFFF" w:sz="0"/>
              <w:right w:val="none" w:color="FFFFFF" w:sz="0"/>
            </w:tcBorders>
            <w:shd w:fill="E85D30" w:val="clear"/>
            <w:tcMar>
              <w:top w:type="dxa" w:w="100"/>
              <w:left w:type="dxa" w:w="140"/>
              <w:bottom w:type="dxa" w:w="100"/>
              <w:right w:type="dxa" w:w="140"/>
            </w:tcMar>
            <w:vAlign w:val="top"/>
          </w:tcPr>
          <w:p>
            <w:pPr>
              <w:spacing w:before="80" w:after="80"/>
              <w:jc w:val="center"/>
            </w:pPr>
            <w:r>
              <w:rPr>
                <w:rFonts w:ascii="Arial" w:cs="Arial" w:eastAsia="Arial" w:hAnsi="Arial"/>
                <w:b/>
                <w:bCs/>
                <w:color w:val="FFFFFF"/>
                <w:sz w:val="20"/>
                <w:szCs w:val="20"/>
              </w:rPr>
              <w:t xml:space="preserve">Priority: High</w:t>
            </w:r>
          </w:p>
        </w:tc>
        <w:tc>
          <w:tcPr>
            <w:tcW w:type="dxa" w:w="2377"/>
            <w:tcBorders>
              <w:top w:val="none" w:color="FFFFFF" w:sz="0"/>
              <w:left w:val="none" w:color="FFFFFF" w:sz="0"/>
              <w:bottom w:val="none" w:color="FFFFFF" w:sz="0"/>
              <w:right w:val="none" w:color="FFFFFF" w:sz="0"/>
            </w:tcBorders>
            <w:shd w:fill="F59E0B" w:val="clear"/>
            <w:tcMar>
              <w:top w:type="dxa" w:w="100"/>
              <w:left w:type="dxa" w:w="140"/>
              <w:bottom w:type="dxa" w:w="100"/>
              <w:right w:type="dxa" w:w="140"/>
            </w:tcMar>
            <w:vAlign w:val="top"/>
          </w:tcPr>
          <w:p>
            <w:pPr>
              <w:spacing w:before="80" w:after="80"/>
              <w:jc w:val="center"/>
            </w:pPr>
            <w:r>
              <w:rPr>
                <w:rFonts w:ascii="Arial" w:cs="Arial" w:eastAsia="Arial" w:hAnsi="Arial"/>
                <w:b/>
                <w:bCs/>
                <w:color w:val="FFFFFF"/>
                <w:sz w:val="20"/>
                <w:szCs w:val="20"/>
              </w:rPr>
              <w:t xml:space="preserve">OKR: Retention</w:t>
            </w:r>
          </w:p>
        </w:tc>
      </w:tr>
    </w:tbl>
    <w:p>
      <w:pPr>
        <w:spacing w:before="80" w:after="40"/>
        <w:jc w:val="left"/>
      </w:pPr>
      <w:r>
        <w:rPr>
          <w:rFonts w:ascii="Arial" w:cs="Arial" w:eastAsia="Arial" w:hAnsi="Arial"/>
          <w:sz w:val="22"/>
          <w:szCs w:val="22"/>
        </w:rPr>
        <w:t xml:space="preserve"/>
      </w:r>
    </w:p>
    <w:p>
      <w:pPr>
        <w:pBdr>
          <w:top w:val="single" w:color="0D1B3E" w:sz="12" w:space="6"/>
        </w:pBdr>
        <w:spacing w:before="280" w:after="100"/>
      </w:pPr>
      <w:r>
        <w:rPr>
          <w:rFonts w:ascii="Arial" w:cs="Arial" w:eastAsia="Arial" w:hAnsi="Arial"/>
          <w:b/>
          <w:bCs/>
          <w:color w:val="0D1B3E"/>
          <w:sz w:val="28"/>
          <w:szCs w:val="28"/>
        </w:rPr>
        <w:t xml:space="preserve">1. TÓM TẮT ĐIỀU HÀNH</w:t>
      </w:r>
    </w:p>
    <w:p>
      <w:pPr>
        <w:spacing w:before="80" w:after="80"/>
        <w:jc w:val="left"/>
      </w:pPr>
      <w:r>
        <w:rPr>
          <w:rFonts w:ascii="Arial" w:cs="Arial" w:eastAsia="Arial" w:hAnsi="Arial"/>
          <w:color w:val="1A2B4A"/>
          <w:sz w:val="22"/>
          <w:szCs w:val="22"/>
        </w:rPr>
        <w:t xml:space="preserve">Tài liệu này đề xuất xây dựng Fulltime Driver Pool (FT Pool) — cơ chế vận hành riêng biệt cho nhóm tài xế Ahamove có ký hợp đồng lao động và đóng bảo hiểm xã hội (BHXH). Đây là bước tiến quan trọng nhằm nâng cao chất lượng dịch vụ, đảm bảo thu nhập ổn định cho tài xế, và tuân thủ đầy đủ Bộ Luật Lao động 2019.</w:t>
      </w:r>
    </w:p>
    <w:p>
      <w:pPr>
        <w:spacing w:before="20" w:after="2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B4A6" w:sz="4"/>
              <w:left w:val="single" w:color="00B4A6" w:sz="4"/>
              <w:bottom w:val="single" w:color="00B4A6" w:sz="4"/>
              <w:right w:val="single" w:color="00B4A6" w:sz="4"/>
            </w:tcBorders>
            <w:shd w:fill="F5F8FA" w:val="clear"/>
            <w:tcMar>
              <w:top w:type="dxa" w:w="100"/>
              <w:left w:type="dxa" w:w="140"/>
              <w:bottom w:type="dxa" w:w="100"/>
              <w:right w:type="dxa" w:w="140"/>
            </w:tcMar>
            <w:vAlign w:val="top"/>
          </w:tcPr>
          <w:p>
            <w:pPr>
              <w:spacing w:before="60" w:after="20"/>
              <w:jc w:val="center"/>
            </w:pPr>
            <w:r>
              <w:rPr>
                <w:rFonts w:ascii="Arial" w:cs="Arial" w:eastAsia="Arial" w:hAnsi="Arial"/>
                <w:b/>
                <w:bCs/>
                <w:color w:val="00B4A6"/>
                <w:sz w:val="40"/>
                <w:szCs w:val="40"/>
              </w:rPr>
              <w:t xml:space="preserve">100%</w:t>
            </w:r>
          </w:p>
          <w:p>
            <w:pPr>
              <w:spacing w:before="0" w:after="60"/>
              <w:jc w:val="center"/>
            </w:pPr>
            <w:r>
              <w:rPr>
                <w:rFonts w:ascii="Arial" w:cs="Arial" w:eastAsia="Arial" w:hAnsi="Arial"/>
                <w:color w:val="6B7280"/>
                <w:sz w:val="18"/>
                <w:szCs w:val="18"/>
              </w:rPr>
              <w:t xml:space="preserve">FT driver không thấy phí ship</w:t>
            </w:r>
          </w:p>
        </w:tc>
        <w:tc>
          <w:tcPr>
            <w:tcW w:type="dxa" w:w="2340"/>
            <w:tcBorders>
              <w:top w:val="single" w:color="10B981" w:sz="4"/>
              <w:left w:val="single" w:color="10B981" w:sz="4"/>
              <w:bottom w:val="single" w:color="10B981" w:sz="4"/>
              <w:right w:val="single" w:color="10B981" w:sz="4"/>
            </w:tcBorders>
            <w:shd w:fill="F5F8FA" w:val="clear"/>
            <w:tcMar>
              <w:top w:type="dxa" w:w="100"/>
              <w:left w:type="dxa" w:w="140"/>
              <w:bottom w:type="dxa" w:w="100"/>
              <w:right w:type="dxa" w:w="140"/>
            </w:tcMar>
            <w:vAlign w:val="top"/>
          </w:tcPr>
          <w:p>
            <w:pPr>
              <w:spacing w:before="60" w:after="20"/>
              <w:jc w:val="center"/>
            </w:pPr>
            <w:r>
              <w:rPr>
                <w:rFonts w:ascii="Arial" w:cs="Arial" w:eastAsia="Arial" w:hAnsi="Arial"/>
                <w:b/>
                <w:bCs/>
                <w:color w:val="10B981"/>
                <w:sz w:val="40"/>
                <w:szCs w:val="40"/>
              </w:rPr>
              <w:t xml:space="preserve">≥95%</w:t>
            </w:r>
          </w:p>
          <w:p>
            <w:pPr>
              <w:spacing w:before="0" w:after="60"/>
              <w:jc w:val="center"/>
            </w:pPr>
            <w:r>
              <w:rPr>
                <w:rFonts w:ascii="Arial" w:cs="Arial" w:eastAsia="Arial" w:hAnsi="Arial"/>
                <w:color w:val="6B7280"/>
                <w:sz w:val="18"/>
                <w:szCs w:val="18"/>
              </w:rPr>
              <w:t xml:space="preserve">Dispatch vào FT pool thành công</w:t>
            </w:r>
          </w:p>
        </w:tc>
        <w:tc>
          <w:tcPr>
            <w:tcW w:type="dxa" w:w="2340"/>
            <w:tcBorders>
              <w:top w:val="single" w:color="F59E0B" w:sz="4"/>
              <w:left w:val="single" w:color="F59E0B" w:sz="4"/>
              <w:bottom w:val="single" w:color="F59E0B" w:sz="4"/>
              <w:right w:val="single" w:color="F59E0B" w:sz="4"/>
            </w:tcBorders>
            <w:shd w:fill="F5F8FA" w:val="clear"/>
            <w:tcMar>
              <w:top w:type="dxa" w:w="100"/>
              <w:left w:type="dxa" w:w="140"/>
              <w:bottom w:type="dxa" w:w="100"/>
              <w:right w:type="dxa" w:w="140"/>
            </w:tcMar>
            <w:vAlign w:val="top"/>
          </w:tcPr>
          <w:p>
            <w:pPr>
              <w:spacing w:before="60" w:after="20"/>
              <w:jc w:val="center"/>
            </w:pPr>
            <w:r>
              <w:rPr>
                <w:rFonts w:ascii="Arial" w:cs="Arial" w:eastAsia="Arial" w:hAnsi="Arial"/>
                <w:b/>
                <w:bCs/>
                <w:color w:val="F59E0B"/>
                <w:sz w:val="40"/>
                <w:szCs w:val="40"/>
              </w:rPr>
              <w:t xml:space="preserve">≥90%</w:t>
            </w:r>
          </w:p>
          <w:p>
            <w:pPr>
              <w:spacing w:before="0" w:after="60"/>
              <w:jc w:val="center"/>
            </w:pPr>
            <w:r>
              <w:rPr>
                <w:rFonts w:ascii="Arial" w:cs="Arial" w:eastAsia="Arial" w:hAnsi="Arial"/>
                <w:color w:val="6B7280"/>
                <w:sz w:val="18"/>
                <w:szCs w:val="18"/>
              </w:rPr>
              <w:t xml:space="preserve">Tài xế đạt cam kết thu nhập/tháng</w:t>
            </w:r>
          </w:p>
        </w:tc>
        <w:tc>
          <w:tcPr>
            <w:tcW w:type="dxa" w:w="2340"/>
            <w:tcBorders>
              <w:top w:val="single" w:color="E85D30" w:sz="4"/>
              <w:left w:val="single" w:color="E85D30" w:sz="4"/>
              <w:bottom w:val="single" w:color="E85D30" w:sz="4"/>
              <w:right w:val="single" w:color="E85D30" w:sz="4"/>
            </w:tcBorders>
            <w:shd w:fill="F5F8FA" w:val="clear"/>
            <w:tcMar>
              <w:top w:type="dxa" w:w="100"/>
              <w:left w:type="dxa" w:w="140"/>
              <w:bottom w:type="dxa" w:w="100"/>
              <w:right w:type="dxa" w:w="140"/>
            </w:tcMar>
            <w:vAlign w:val="top"/>
          </w:tcPr>
          <w:p>
            <w:pPr>
              <w:spacing w:before="60" w:after="20"/>
              <w:jc w:val="center"/>
            </w:pPr>
            <w:r>
              <w:rPr>
                <w:rFonts w:ascii="Arial" w:cs="Arial" w:eastAsia="Arial" w:hAnsi="Arial"/>
                <w:b/>
                <w:bCs/>
                <w:color w:val="E85D30"/>
                <w:sz w:val="40"/>
                <w:szCs w:val="40"/>
              </w:rPr>
              <w:t xml:space="preserve">≥85%</w:t>
            </w:r>
          </w:p>
          <w:p>
            <w:pPr>
              <w:spacing w:before="0" w:after="60"/>
              <w:jc w:val="center"/>
            </w:pPr>
            <w:r>
              <w:rPr>
                <w:rFonts w:ascii="Arial" w:cs="Arial" w:eastAsia="Arial" w:hAnsi="Arial"/>
                <w:color w:val="6B7280"/>
                <w:sz w:val="18"/>
                <w:szCs w:val="18"/>
              </w:rPr>
              <w:t xml:space="preserve">Retention FT driver sau 3 tháng</w:t>
            </w:r>
          </w:p>
        </w:tc>
      </w:tr>
    </w:tbl>
    <w:p>
      <w:pPr>
        <w:spacing w:before="80" w:after="40"/>
        <w:jc w:val="left"/>
      </w:pPr>
      <w:r>
        <w:rPr>
          <w:rFonts w:ascii="Arial" w:cs="Arial" w:eastAsia="Arial" w:hAnsi="Arial"/>
          <w:sz w:val="22"/>
          <w:szCs w:val="22"/>
        </w:rPr>
        <w:t xml:space="preserve"/>
      </w:r>
    </w:p>
    <w:p>
      <w:pPr>
        <w:pBdr>
          <w:top w:val="single" w:color="E85D30" w:sz="12" w:space="6"/>
        </w:pBdr>
        <w:spacing w:before="280" w:after="100"/>
      </w:pPr>
      <w:r>
        <w:rPr>
          <w:rFonts w:ascii="Arial" w:cs="Arial" w:eastAsia="Arial" w:hAnsi="Arial"/>
          <w:b/>
          <w:bCs/>
          <w:color w:val="E85D30"/>
          <w:sz w:val="28"/>
          <w:szCs w:val="28"/>
        </w:rPr>
        <w:t xml:space="preserve">2. VẤN ĐỀ HIỆN TẠI</w:t>
      </w:r>
    </w:p>
    <w:p>
      <w:pPr>
        <w:spacing w:before="60" w:after="60"/>
        <w:jc w:val="left"/>
      </w:pPr>
      <w:r>
        <w:rPr>
          <w:rFonts w:ascii="Arial" w:cs="Arial" w:eastAsia="Arial" w:hAnsi="Arial"/>
          <w:color w:val="1A2B4A"/>
          <w:sz w:val="22"/>
          <w:szCs w:val="22"/>
        </w:rPr>
        <w:t xml:space="preserve">Ahamove hiện chưa có cơ chế vận hành riêng cho nhóm tài xế ký hợp đồng lao động. Toàn bộ tài xế — freelance và fulltime — đang hoạt động trong cùng một pool, dẫn đến 4 vấn đề cốt lõi: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6006"/>
      </w:tblGrid>
      <w:tr>
        <w:trPr>
          <w:tblHeader/>
        </w:trPr>
        <w:tc>
          <w:tcPr>
            <w:tcW w:type="dxa" w:w="700"/>
            <w:tcBorders>
              <w:top w:val="none" w:color="FFFFFF" w:sz="0"/>
              <w:left w:val="none" w:color="FFFFFF" w:sz="0"/>
              <w:bottom w:val="none" w:color="FFFFFF" w:sz="0"/>
              <w:right w:val="none" w:color="FFFFFF" w:sz="0"/>
            </w:tcBorders>
            <w:shd w:fill="0D1B3E" w:val="clear"/>
            <w:tcMar>
              <w:top w:type="dxa" w:w="100"/>
              <w:left w:type="dxa" w:w="140"/>
              <w:bottom w:type="dxa" w:w="100"/>
              <w:right w:type="dxa" w:w="140"/>
            </w:tcMar>
            <w:vAlign w:val="top"/>
          </w:tcPr>
          <w:p>
            <w:pPr>
              <w:spacing w:before="40" w:after="40"/>
              <w:jc w:val="center"/>
            </w:pPr>
            <w:r>
              <w:rPr>
                <w:rFonts w:ascii="Arial" w:cs="Arial" w:eastAsia="Arial" w:hAnsi="Arial"/>
                <w:b/>
                <w:bCs/>
                <w:color w:val="FFFFFF"/>
                <w:sz w:val="20"/>
                <w:szCs w:val="20"/>
              </w:rPr>
              <w:t xml:space="preserve">#</w:t>
            </w:r>
          </w:p>
        </w:tc>
        <w:tc>
          <w:tcPr>
            <w:tcW w:type="dxa" w:w="2800"/>
            <w:tcBorders>
              <w:top w:val="none" w:color="FFFFFF" w:sz="0"/>
              <w:left w:val="none" w:color="FFFFFF" w:sz="0"/>
              <w:bottom w:val="none" w:color="FFFFFF" w:sz="0"/>
              <w:right w:val="none" w:color="FFFFFF" w:sz="0"/>
            </w:tcBorders>
            <w:shd w:fill="0D1B3E" w:val="clear"/>
            <w:tcMar>
              <w:top w:type="dxa" w:w="100"/>
              <w:left w:type="dxa" w:w="140"/>
              <w:bottom w:type="dxa" w:w="100"/>
              <w:right w:type="dxa" w:w="140"/>
            </w:tcMar>
            <w:vAlign w:val="top"/>
          </w:tcPr>
          <w:p>
            <w:pPr>
              <w:spacing w:before="40" w:after="40"/>
              <w:jc w:val="left"/>
            </w:pPr>
            <w:r>
              <w:rPr>
                <w:rFonts w:ascii="Arial" w:cs="Arial" w:eastAsia="Arial" w:hAnsi="Arial"/>
                <w:b/>
                <w:bCs/>
                <w:color w:val="FFFFFF"/>
                <w:sz w:val="20"/>
                <w:szCs w:val="20"/>
              </w:rPr>
              <w:t xml:space="preserve">Vấn đề</w:t>
            </w:r>
          </w:p>
        </w:tc>
        <w:tc>
          <w:tcPr>
            <w:tcW w:type="dxa" w:w="6006"/>
            <w:tcBorders>
              <w:top w:val="none" w:color="FFFFFF" w:sz="0"/>
              <w:left w:val="none" w:color="FFFFFF" w:sz="0"/>
              <w:bottom w:val="none" w:color="FFFFFF" w:sz="0"/>
              <w:right w:val="none" w:color="FFFFFF" w:sz="0"/>
            </w:tcBorders>
            <w:shd w:fill="0D1B3E" w:val="clear"/>
            <w:tcMar>
              <w:top w:type="dxa" w:w="100"/>
              <w:left w:type="dxa" w:w="140"/>
              <w:bottom w:type="dxa" w:w="100"/>
              <w:right w:type="dxa" w:w="140"/>
            </w:tcMar>
            <w:vAlign w:val="top"/>
          </w:tcPr>
          <w:p>
            <w:pPr>
              <w:spacing w:before="40" w:after="40"/>
              <w:jc w:val="left"/>
            </w:pPr>
            <w:r>
              <w:rPr>
                <w:rFonts w:ascii="Arial" w:cs="Arial" w:eastAsia="Arial" w:hAnsi="Arial"/>
                <w:b/>
                <w:bCs/>
                <w:color w:val="FFFFFF"/>
                <w:sz w:val="20"/>
                <w:szCs w:val="20"/>
              </w:rPr>
              <w:t xml:space="preserve">Mô tả &amp; Tác động</w:t>
            </w:r>
          </w:p>
        </w:tc>
      </w:tr>
      <w:tr>
        <w:tc>
          <w:tcPr>
            <w:tcW w:type="dxa" w:w="7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40" w:after="40"/>
              <w:jc w:val="center"/>
            </w:pPr>
            <w:r>
              <w:rPr>
                <w:rFonts w:ascii="Arial" w:cs="Arial" w:eastAsia="Arial" w:hAnsi="Arial"/>
                <w:b/>
                <w:bCs/>
                <w:color w:val="E85D30"/>
                <w:sz w:val="20"/>
                <w:szCs w:val="20"/>
              </w:rPr>
              <w:t xml:space="preserve">01</w:t>
            </w:r>
          </w:p>
        </w:tc>
        <w:tc>
          <w:tcPr>
            <w:tcW w:type="dxa" w:w="28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40" w:after="40"/>
              <w:jc w:val="left"/>
            </w:pPr>
            <w:r>
              <w:rPr>
                <w:rFonts w:ascii="Arial" w:cs="Arial" w:eastAsia="Arial" w:hAnsi="Arial"/>
                <w:b/>
                <w:bCs/>
                <w:color w:val="1A2B4A"/>
                <w:sz w:val="20"/>
                <w:szCs w:val="20"/>
              </w:rPr>
              <w:t xml:space="preserve">Thu nhập không ổn định</w:t>
            </w:r>
          </w:p>
        </w:tc>
        <w:tc>
          <w:tcPr>
            <w:tcW w:type="dxa" w:w="6006"/>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40" w:after="40"/>
              <w:jc w:val="left"/>
            </w:pPr>
            <w:r>
              <w:rPr>
                <w:rFonts w:ascii="Arial" w:cs="Arial" w:eastAsia="Arial" w:hAnsi="Arial"/>
                <w:color w:val="6B7280"/>
                <w:sz w:val="20"/>
                <w:szCs w:val="20"/>
              </w:rPr>
              <w:t xml:space="preserve">Tài xế FT cạnh tranh đơn trực tiếp với pool FL. Không có đơn = không có thu nhập dù đã ký hợp đồng. Mâu thuẫn với bản chất hợp đồng lao động.</w:t>
            </w:r>
          </w:p>
        </w:tc>
      </w:tr>
      <w:tr>
        <w:tc>
          <w:tcPr>
            <w:tcW w:type="dxa" w:w="7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40" w:after="40"/>
              <w:jc w:val="center"/>
            </w:pPr>
            <w:r>
              <w:rPr>
                <w:rFonts w:ascii="Arial" w:cs="Arial" w:eastAsia="Arial" w:hAnsi="Arial"/>
                <w:b/>
                <w:bCs/>
                <w:color w:val="E85D30"/>
                <w:sz w:val="20"/>
                <w:szCs w:val="20"/>
              </w:rPr>
              <w:t xml:space="preserve">02</w:t>
            </w:r>
          </w:p>
        </w:tc>
        <w:tc>
          <w:tcPr>
            <w:tcW w:type="dxa" w:w="28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40" w:after="40"/>
              <w:jc w:val="left"/>
            </w:pPr>
            <w:r>
              <w:rPr>
                <w:rFonts w:ascii="Arial" w:cs="Arial" w:eastAsia="Arial" w:hAnsi="Arial"/>
                <w:b/>
                <w:bCs/>
                <w:color w:val="1A2B4A"/>
                <w:sz w:val="20"/>
                <w:szCs w:val="20"/>
              </w:rPr>
              <w:t xml:space="preserve">Thiếu quản lý giờ công</w:t>
            </w:r>
          </w:p>
        </w:tc>
        <w:tc>
          <w:tcPr>
            <w:tcW w:type="dxa" w:w="6006"/>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40" w:after="40"/>
              <w:jc w:val="left"/>
            </w:pPr>
            <w:r>
              <w:rPr>
                <w:rFonts w:ascii="Arial" w:cs="Arial" w:eastAsia="Arial" w:hAnsi="Arial"/>
                <w:color w:val="6B7280"/>
                <w:sz w:val="20"/>
                <w:szCs w:val="20"/>
              </w:rPr>
              <w:t xml:space="preserve">Không có cơ chế clock-in/out, tracking ca làm việc, tính OT → rủi ro pháp lý về Bộ Luật Lao động 2019. HR không có dữ liệu để tính lương đúng.</w:t>
            </w:r>
          </w:p>
        </w:tc>
      </w:tr>
      <w:tr>
        <w:tc>
          <w:tcPr>
            <w:tcW w:type="dxa" w:w="7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40" w:after="40"/>
              <w:jc w:val="center"/>
            </w:pPr>
            <w:r>
              <w:rPr>
                <w:rFonts w:ascii="Arial" w:cs="Arial" w:eastAsia="Arial" w:hAnsi="Arial"/>
                <w:b/>
                <w:bCs/>
                <w:color w:val="E85D30"/>
                <w:sz w:val="20"/>
                <w:szCs w:val="20"/>
              </w:rPr>
              <w:t xml:space="preserve">03</w:t>
            </w:r>
          </w:p>
        </w:tc>
        <w:tc>
          <w:tcPr>
            <w:tcW w:type="dxa" w:w="28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40" w:after="40"/>
              <w:jc w:val="left"/>
            </w:pPr>
            <w:r>
              <w:rPr>
                <w:rFonts w:ascii="Arial" w:cs="Arial" w:eastAsia="Arial" w:hAnsi="Arial"/>
                <w:b/>
                <w:bCs/>
                <w:color w:val="1A2B4A"/>
                <w:sz w:val="20"/>
                <w:szCs w:val="20"/>
              </w:rPr>
              <w:t xml:space="preserve">Tài xế FT thấy phí ship</w:t>
            </w:r>
          </w:p>
        </w:tc>
        <w:tc>
          <w:tcPr>
            <w:tcW w:type="dxa" w:w="6006"/>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40" w:after="40"/>
              <w:jc w:val="left"/>
            </w:pPr>
            <w:r>
              <w:rPr>
                <w:rFonts w:ascii="Arial" w:cs="Arial" w:eastAsia="Arial" w:hAnsi="Arial"/>
                <w:color w:val="6B7280"/>
                <w:sz w:val="20"/>
                <w:szCs w:val="20"/>
              </w:rPr>
              <w:t xml:space="preserve">Driver có thể từ chối đơn giá thấp, phá vỡ cam kết SLA và mô hình lương cố định. Không phù hợp với mô hình employed driver toàn cầu.</w:t>
            </w:r>
          </w:p>
        </w:tc>
      </w:tr>
      <w:tr>
        <w:tc>
          <w:tcPr>
            <w:tcW w:type="dxa" w:w="7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40" w:after="40"/>
              <w:jc w:val="center"/>
            </w:pPr>
            <w:r>
              <w:rPr>
                <w:rFonts w:ascii="Arial" w:cs="Arial" w:eastAsia="Arial" w:hAnsi="Arial"/>
                <w:b/>
                <w:bCs/>
                <w:color w:val="E85D30"/>
                <w:sz w:val="20"/>
                <w:szCs w:val="20"/>
              </w:rPr>
              <w:t xml:space="preserve">04</w:t>
            </w:r>
          </w:p>
        </w:tc>
        <w:tc>
          <w:tcPr>
            <w:tcW w:type="dxa" w:w="28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40" w:after="40"/>
              <w:jc w:val="left"/>
            </w:pPr>
            <w:r>
              <w:rPr>
                <w:rFonts w:ascii="Arial" w:cs="Arial" w:eastAsia="Arial" w:hAnsi="Arial"/>
                <w:b/>
                <w:bCs/>
                <w:color w:val="1A2B4A"/>
                <w:sz w:val="20"/>
                <w:szCs w:val="20"/>
              </w:rPr>
              <w:t xml:space="preserve">BHXH chưa được tích hợp</w:t>
            </w:r>
          </w:p>
        </w:tc>
        <w:tc>
          <w:tcPr>
            <w:tcW w:type="dxa" w:w="6006"/>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40" w:after="40"/>
              <w:jc w:val="left"/>
            </w:pPr>
            <w:r>
              <w:rPr>
                <w:rFonts w:ascii="Arial" w:cs="Arial" w:eastAsia="Arial" w:hAnsi="Arial"/>
                <w:color w:val="6B7280"/>
                <w:sz w:val="20"/>
                <w:szCs w:val="20"/>
              </w:rPr>
              <w:t xml:space="preserve">Chưa có hệ thống tự động tính &amp; đóng BHXH. HR quản lý thủ công → dễ sai sót, không scale được khi tăng số lượng tài xế FT.</w:t>
            </w:r>
          </w:p>
        </w:tc>
      </w:tr>
    </w:tbl>
    <w:p>
      <w:pPr>
        <w:spacing w:before="80" w:after="40"/>
        <w:jc w:val="left"/>
      </w:pPr>
      <w:r>
        <w:rPr>
          <w:rFonts w:ascii="Arial" w:cs="Arial" w:eastAsia="Arial" w:hAnsi="Arial"/>
          <w:sz w:val="22"/>
          <w:szCs w:val="22"/>
        </w:rPr>
        <w:t xml:space="preserve"/>
      </w:r>
    </w:p>
    <w:p>
      <w:pPr>
        <w:pBdr>
          <w:top w:val="single" w:color="0D1B3E" w:sz="12" w:space="6"/>
        </w:pBdr>
        <w:spacing w:before="280" w:after="100"/>
      </w:pPr>
      <w:r>
        <w:rPr>
          <w:rFonts w:ascii="Arial" w:cs="Arial" w:eastAsia="Arial" w:hAnsi="Arial"/>
          <w:b/>
          <w:bCs/>
          <w:color w:val="0D1B3E"/>
          <w:sz w:val="28"/>
          <w:szCs w:val="28"/>
        </w:rPr>
        <w:t xml:space="preserve">3. BENCHMARK TOÀN CẦU</w:t>
      </w:r>
    </w:p>
    <w:p>
      <w:pPr>
        <w:spacing w:before="60" w:after="60"/>
        <w:jc w:val="left"/>
      </w:pPr>
      <w:r>
        <w:rPr>
          <w:rFonts w:ascii="Arial" w:cs="Arial" w:eastAsia="Arial" w:hAnsi="Arial"/>
          <w:color w:val="1A2B4A"/>
          <w:sz w:val="22"/>
          <w:szCs w:val="22"/>
        </w:rPr>
        <w:t xml:space="preserve">Các platform logistics lớn đã thử nghiệm và chứng minh mô hình employed driver hoạt động hiệu quả:</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200"/>
        <w:gridCol w:w="3306"/>
      </w:tblGrid>
      <w:tr>
        <w:trPr>
          <w:tblHeader/>
        </w:trPr>
        <w:tc>
          <w:tcPr>
            <w:tcW w:type="dxa" w:w="1800"/>
            <w:tcBorders>
              <w:top w:val="single" w:color="0D1B3E" w:sz="4"/>
              <w:left w:val="single" w:color="0D1B3E" w:sz="4"/>
              <w:bottom w:val="single" w:color="0D1B3E" w:sz="4"/>
              <w:right w:val="single" w:color="0D1B3E" w:sz="4"/>
            </w:tcBorders>
            <w:shd w:fill="0D1B3E" w:val="clear"/>
            <w:tcMar>
              <w:top w:type="dxa" w:w="100"/>
              <w:left w:type="dxa" w:w="140"/>
              <w:bottom w:type="dxa" w:w="100"/>
              <w:right w:type="dxa" w:w="140"/>
            </w:tcMar>
            <w:vAlign w:val="top"/>
          </w:tcPr>
          <w:p>
            <w:pPr>
              <w:spacing w:before="80" w:after="80"/>
              <w:jc w:val="left"/>
            </w:pPr>
            <w:r>
              <w:rPr>
                <w:rFonts w:ascii="Arial" w:cs="Arial" w:eastAsia="Arial" w:hAnsi="Arial"/>
                <w:b/>
                <w:bCs/>
                <w:color w:val="FFFFFF"/>
                <w:sz w:val="20"/>
                <w:szCs w:val="20"/>
              </w:rPr>
              <w:t xml:space="preserve">Platform</w:t>
            </w:r>
          </w:p>
        </w:tc>
        <w:tc>
          <w:tcPr>
            <w:tcW w:type="dxa" w:w="1200"/>
            <w:tcBorders>
              <w:top w:val="single" w:color="0D1B3E" w:sz="4"/>
              <w:left w:val="single" w:color="0D1B3E" w:sz="4"/>
              <w:bottom w:val="single" w:color="0D1B3E" w:sz="4"/>
              <w:right w:val="single" w:color="0D1B3E" w:sz="4"/>
            </w:tcBorders>
            <w:shd w:fill="0D1B3E" w:val="clear"/>
            <w:tcMar>
              <w:top w:type="dxa" w:w="100"/>
              <w:left w:type="dxa" w:w="140"/>
              <w:bottom w:type="dxa" w:w="100"/>
              <w:right w:type="dxa" w:w="140"/>
            </w:tcMar>
            <w:vAlign w:val="top"/>
          </w:tcPr>
          <w:p>
            <w:pPr>
              <w:spacing w:before="80" w:after="80"/>
              <w:jc w:val="left"/>
            </w:pPr>
            <w:r>
              <w:rPr>
                <w:rFonts w:ascii="Arial" w:cs="Arial" w:eastAsia="Arial" w:hAnsi="Arial"/>
                <w:b/>
                <w:bCs/>
                <w:color w:val="FFFFFF"/>
                <w:sz w:val="20"/>
                <w:szCs w:val="20"/>
              </w:rPr>
              <w:t xml:space="preserve">Khu vực</w:t>
            </w:r>
          </w:p>
        </w:tc>
        <w:tc>
          <w:tcPr>
            <w:tcW w:type="dxa" w:w="3200"/>
            <w:tcBorders>
              <w:top w:val="single" w:color="0D1B3E" w:sz="4"/>
              <w:left w:val="single" w:color="0D1B3E" w:sz="4"/>
              <w:bottom w:val="single" w:color="0D1B3E" w:sz="4"/>
              <w:right w:val="single" w:color="0D1B3E" w:sz="4"/>
            </w:tcBorders>
            <w:shd w:fill="0D1B3E" w:val="clear"/>
            <w:tcMar>
              <w:top w:type="dxa" w:w="100"/>
              <w:left w:type="dxa" w:w="140"/>
              <w:bottom w:type="dxa" w:w="100"/>
              <w:right w:type="dxa" w:w="140"/>
            </w:tcMar>
            <w:vAlign w:val="top"/>
          </w:tcPr>
          <w:p>
            <w:pPr>
              <w:spacing w:before="80" w:after="80"/>
              <w:jc w:val="left"/>
            </w:pPr>
            <w:r>
              <w:rPr>
                <w:rFonts w:ascii="Arial" w:cs="Arial" w:eastAsia="Arial" w:hAnsi="Arial"/>
                <w:b/>
                <w:bCs/>
                <w:color w:val="FFFFFF"/>
                <w:sz w:val="20"/>
                <w:szCs w:val="20"/>
              </w:rPr>
              <w:t xml:space="preserve">Mô hình</w:t>
            </w:r>
          </w:p>
        </w:tc>
        <w:tc>
          <w:tcPr>
            <w:tcW w:type="dxa" w:w="3306"/>
            <w:tcBorders>
              <w:top w:val="single" w:color="0D1B3E" w:sz="4"/>
              <w:left w:val="single" w:color="0D1B3E" w:sz="4"/>
              <w:bottom w:val="single" w:color="0D1B3E" w:sz="4"/>
              <w:right w:val="single" w:color="0D1B3E" w:sz="4"/>
            </w:tcBorders>
            <w:shd w:fill="0D1B3E" w:val="clear"/>
            <w:tcMar>
              <w:top w:type="dxa" w:w="100"/>
              <w:left w:type="dxa" w:w="140"/>
              <w:bottom w:type="dxa" w:w="100"/>
              <w:right w:type="dxa" w:w="140"/>
            </w:tcMar>
            <w:vAlign w:val="top"/>
          </w:tcPr>
          <w:p>
            <w:pPr>
              <w:spacing w:before="80" w:after="80"/>
              <w:jc w:val="left"/>
            </w:pPr>
            <w:r>
              <w:rPr>
                <w:rFonts w:ascii="Arial" w:cs="Arial" w:eastAsia="Arial" w:hAnsi="Arial"/>
                <w:b/>
                <w:bCs/>
                <w:color w:val="FFFFFF"/>
                <w:sz w:val="20"/>
                <w:szCs w:val="20"/>
              </w:rPr>
              <w:t xml:space="preserve">Kết quả</w:t>
            </w:r>
          </w:p>
        </w:tc>
      </w:tr>
      <w:tr>
        <w:tc>
          <w:tcPr>
            <w:tcW w:type="dxa" w:w="18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Amazon DSP</w:t>
            </w:r>
          </w:p>
        </w:tc>
        <w:tc>
          <w:tcPr>
            <w:tcW w:type="dxa" w:w="12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Toàn cầu</w:t>
            </w:r>
          </w:p>
        </w:tc>
        <w:tc>
          <w:tcPr>
            <w:tcW w:type="dxa" w:w="32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Tách Amazon Flex (gig) vs DSP (FT). Driver không thấy giá trị đơn, nhận lương ca cố định. Cơ chế dispatch ưu tiên pool FT.</w:t>
            </w:r>
          </w:p>
        </w:tc>
        <w:tc>
          <w:tcPr>
            <w:tcW w:type="dxa" w:w="3306"/>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SLA DSP tốt hơn Flex 40%. Scale lên 3.000+ DSP partners tại Mỹ. Giảm tỷ lệ churn tài xế xuống dưới 15%/năm.</w:t>
            </w:r>
          </w:p>
        </w:tc>
      </w:tr>
      <w:tr>
        <w:tc>
          <w:tcPr>
            <w:tcW w:type="dxa" w:w="18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Ninja Van</w:t>
            </w:r>
          </w:p>
        </w:tc>
        <w:tc>
          <w:tcPr>
            <w:tcW w:type="dxa" w:w="12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Southeast Asia</w:t>
            </w:r>
          </w:p>
        </w:tc>
        <w:tc>
          <w:tcPr>
            <w:tcW w:type="dxa" w:w="32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Đội xe nội bộ 15.000+ xe, tách hoàn toàn khỏi 3PL. Tài xế nhận ca cố định, không đấu thầu đơn. 800 logistics hub.</w:t>
            </w:r>
          </w:p>
        </w:tc>
        <w:tc>
          <w:tcPr>
            <w:tcW w:type="dxa" w:w="3306"/>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Retention tài xế &gt;85% sau 6 tháng. Hub-and-spoke scale được ở SEA. Chứng minh mô hình FT khả thi tại thị trường VN/TH/PH.</w:t>
            </w:r>
          </w:p>
        </w:tc>
      </w:tr>
      <w:tr>
        <w:tc>
          <w:tcPr>
            <w:tcW w:type="dxa" w:w="18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Grab Express Pro</w:t>
            </w:r>
          </w:p>
        </w:tc>
        <w:tc>
          <w:tcPr>
            <w:tcW w:type="dxa" w:w="12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Vietnam, SEA</w:t>
            </w:r>
          </w:p>
        </w:tc>
        <w:tc>
          <w:tcPr>
            <w:tcW w:type="dxa" w:w="32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Dedicated driver pool cho khách hàng B2B/Enterprise với cơ chế dispatch ưu tiên FT pool trước khi mở rộng ra gig pool.</w:t>
            </w:r>
          </w:p>
        </w:tc>
        <w:tc>
          <w:tcPr>
            <w:tcW w:type="dxa" w:w="3306"/>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SLA B2B đạt 97%+ nhờ priority dispatch. Tăng ARPU khách hàng Enterprise 35% so với standard service.</w:t>
            </w:r>
          </w:p>
        </w:tc>
      </w:tr>
    </w:tbl>
    <w:p>
      <w:pPr>
        <w:spacing w:before="80" w:after="40"/>
        <w:jc w:val="left"/>
      </w:pPr>
      <w:r>
        <w:rPr>
          <w:rFonts w:ascii="Arial" w:cs="Arial" w:eastAsia="Arial" w:hAnsi="Arial"/>
          <w:sz w:val="22"/>
          <w:szCs w:val="22"/>
        </w:rPr>
        <w:t xml:space="preserve"/>
      </w:r>
    </w:p>
    <w:p>
      <w:pPr>
        <w:pBdr>
          <w:top w:val="single" w:color="00B4A6" w:sz="12" w:space="6"/>
        </w:pBdr>
        <w:spacing w:before="280" w:after="100"/>
      </w:pPr>
      <w:r>
        <w:rPr>
          <w:rFonts w:ascii="Arial" w:cs="Arial" w:eastAsia="Arial" w:hAnsi="Arial"/>
          <w:b/>
          <w:bCs/>
          <w:color w:val="00B4A6"/>
          <w:sz w:val="28"/>
          <w:szCs w:val="28"/>
        </w:rPr>
        <w:t xml:space="preserve">4. GIẢI PHÁP ĐỀ XUẤT</w:t>
      </w:r>
    </w:p>
    <w:p>
      <w:pPr>
        <w:spacing w:before="60" w:after="60"/>
        <w:jc w:val="left"/>
      </w:pPr>
      <w:r>
        <w:rPr>
          <w:rFonts w:ascii="Arial" w:cs="Arial" w:eastAsia="Arial" w:hAnsi="Arial"/>
          <w:color w:val="1A2B4A"/>
          <w:sz w:val="22"/>
          <w:szCs w:val="22"/>
        </w:rPr>
        <w:t xml:space="preserve">Xây dựng Fulltime Driver Pool với 4 cơ chế tách biệt hoàn toàn khỏi pool freelance hiện tại:</w:t>
      </w:r>
    </w:p>
    <w:p>
      <w:pPr>
        <w:pStyle w:val="Heading2"/>
        <w:spacing w:before="180" w:after="60"/>
      </w:pPr>
      <w:r>
        <w:rPr>
          <w:rFonts w:ascii="Arial" w:cs="Arial" w:eastAsia="Arial" w:hAnsi="Arial"/>
          <w:b/>
          <w:bCs/>
          <w:color w:val="00B4A6"/>
          <w:sz w:val="26"/>
          <w:szCs w:val="26"/>
        </w:rPr>
        <w:t xml:space="preserve">4.1  Priority Dispatch — Phát đơn ưu tiên riêng</w:t>
      </w:r>
    </w:p>
    <w:p>
      <w:pPr>
        <w:pStyle w:val="ListParagraph"/>
        <w:numPr>
          <w:ilvl w:val="0"/>
          <w:numId w:val="2"/>
        </w:numPr>
      </w:pPr>
      <w:r>
        <w:rPr>
          <w:rFonts w:ascii="Arial" w:cs="Arial" w:eastAsia="Arial" w:hAnsi="Arial"/>
          <w:color w:val="1A2B4A"/>
          <w:sz w:val="22"/>
          <w:szCs w:val="22"/>
        </w:rPr>
        <w:t xml:space="preserve">Đơn hàng mới được dispatch vào FT pool trước, với timeout T giây (configurable per service type).</w:t>
      </w:r>
    </w:p>
    <w:p>
      <w:pPr>
        <w:pStyle w:val="ListParagraph"/>
        <w:numPr>
          <w:ilvl w:val="0"/>
          <w:numId w:val="2"/>
        </w:numPr>
      </w:pPr>
      <w:r>
        <w:rPr>
          <w:rFonts w:ascii="Arial" w:cs="Arial" w:eastAsia="Arial" w:hAnsi="Arial"/>
          <w:color w:val="1A2B4A"/>
          <w:sz w:val="22"/>
          <w:szCs w:val="22"/>
        </w:rPr>
        <w:t xml:space="preserve">Nếu không có tài xế FT online trong bán kính X km hoặc hết timeout → fallback tự động sang FL pool.</w:t>
      </w:r>
    </w:p>
    <w:p>
      <w:pPr>
        <w:pStyle w:val="ListParagraph"/>
        <w:numPr>
          <w:ilvl w:val="0"/>
          <w:numId w:val="2"/>
        </w:numPr>
      </w:pPr>
      <w:r>
        <w:rPr>
          <w:rFonts w:ascii="Arial" w:cs="Arial" w:eastAsia="Arial" w:hAnsi="Arial"/>
          <w:color w:val="1A2B4A"/>
          <w:sz w:val="22"/>
          <w:szCs w:val="22"/>
        </w:rPr>
        <w:t xml:space="preserve">Tỷ lệ đơn dispatch vào FT pool được monitor realtime. Alert khi fallback rate &gt; ngưỡng cho phép.</w:t>
      </w:r>
    </w:p>
    <w:p>
      <w:pPr>
        <w:spacing w:before="20" w:after="20"/>
        <w:jc w:val="left"/>
      </w:pPr>
      <w:r>
        <w:rPr>
          <w:rFonts w:ascii="Arial" w:cs="Arial" w:eastAsia="Arial" w:hAnsi="Arial"/>
          <w:sz w:val="22"/>
          <w:szCs w:val="22"/>
        </w:rPr>
        <w:t xml:space="preserve"/>
      </w:r>
    </w:p>
    <w:p>
      <w:pPr>
        <w:pStyle w:val="Heading2"/>
        <w:spacing w:before="180" w:after="60"/>
      </w:pPr>
      <w:r>
        <w:rPr>
          <w:rFonts w:ascii="Arial" w:cs="Arial" w:eastAsia="Arial" w:hAnsi="Arial"/>
          <w:b/>
          <w:bCs/>
          <w:color w:val="F59E0B"/>
          <w:sz w:val="26"/>
          <w:szCs w:val="26"/>
        </w:rPr>
        <w:t xml:space="preserve">4.2  Ẩn phí ship — Order card riêng cho FT</w:t>
      </w:r>
    </w:p>
    <w:p>
      <w:pPr>
        <w:pStyle w:val="ListParagraph"/>
        <w:numPr>
          <w:ilvl w:val="0"/>
          <w:numId w:val="2"/>
        </w:numPr>
      </w:pPr>
      <w:r>
        <w:rPr>
          <w:rFonts w:ascii="Arial" w:cs="Arial" w:eastAsia="Arial" w:hAnsi="Arial"/>
          <w:color w:val="1A2B4A"/>
          <w:sz w:val="22"/>
          <w:szCs w:val="22"/>
        </w:rPr>
        <w:t xml:space="preserve">Tài xế FT không nhìn thấy giá trị phí ship (fee_display = null, earning_estimate ẩn).</w:t>
      </w:r>
    </w:p>
    <w:p>
      <w:pPr>
        <w:pStyle w:val="ListParagraph"/>
        <w:numPr>
          <w:ilvl w:val="0"/>
          <w:numId w:val="2"/>
        </w:numPr>
      </w:pPr>
      <w:r>
        <w:rPr>
          <w:rFonts w:ascii="Arial" w:cs="Arial" w:eastAsia="Arial" w:hAnsi="Arial"/>
          <w:color w:val="1A2B4A"/>
          <w:sz w:val="22"/>
          <w:szCs w:val="22"/>
        </w:rPr>
        <w:t xml:space="preserve">Order card chỉ hiển thị: địa chỉ lấy hàng, địa chỉ giao, loại hàng, thời gian pickup yêu cầu.</w:t>
      </w:r>
    </w:p>
    <w:p>
      <w:pPr>
        <w:pStyle w:val="ListParagraph"/>
        <w:numPr>
          <w:ilvl w:val="0"/>
          <w:numId w:val="2"/>
        </w:numPr>
      </w:pPr>
      <w:r>
        <w:rPr>
          <w:rFonts w:ascii="Arial" w:cs="Arial" w:eastAsia="Arial" w:hAnsi="Arial"/>
          <w:color w:val="1A2B4A"/>
          <w:sz w:val="22"/>
          <w:szCs w:val="22"/>
        </w:rPr>
        <w:t xml:space="preserve">Backend trả về response schema khác biệt theo driver_type flag. Frontend render có điều kiện.</w:t>
      </w:r>
    </w:p>
    <w:p>
      <w:pPr>
        <w:spacing w:before="20" w:after="20"/>
        <w:jc w:val="left"/>
      </w:pPr>
      <w:r>
        <w:rPr>
          <w:rFonts w:ascii="Arial" w:cs="Arial" w:eastAsia="Arial" w:hAnsi="Arial"/>
          <w:sz w:val="22"/>
          <w:szCs w:val="22"/>
        </w:rPr>
        <w:t xml:space="preserve"/>
      </w:r>
    </w:p>
    <w:p>
      <w:pPr>
        <w:pStyle w:val="Heading2"/>
        <w:spacing w:before="180" w:after="60"/>
      </w:pPr>
      <w:r>
        <w:rPr>
          <w:rFonts w:ascii="Arial" w:cs="Arial" w:eastAsia="Arial" w:hAnsi="Arial"/>
          <w:b/>
          <w:bCs/>
          <w:color w:val="E85D30"/>
          <w:sz w:val="26"/>
          <w:szCs w:val="26"/>
        </w:rPr>
        <w:t xml:space="preserve">4.3  Ca làm việc &amp; giờ công — Module mới trong Driver App</w:t>
      </w:r>
    </w:p>
    <w:p>
      <w:pPr>
        <w:pStyle w:val="ListParagraph"/>
        <w:numPr>
          <w:ilvl w:val="0"/>
          <w:numId w:val="2"/>
        </w:numPr>
      </w:pPr>
      <w:r>
        <w:rPr>
          <w:rFonts w:ascii="Arial" w:cs="Arial" w:eastAsia="Arial" w:hAnsi="Arial"/>
          <w:color w:val="1A2B4A"/>
          <w:sz w:val="22"/>
          <w:szCs w:val="22"/>
        </w:rPr>
        <w:t xml:space="preserve">Màn hình Clock-in / Clock-out mới. Shift countdown timer, số đơn đã giao trong ca.</w:t>
      </w:r>
    </w:p>
    <w:p>
      <w:pPr>
        <w:pStyle w:val="ListParagraph"/>
        <w:numPr>
          <w:ilvl w:val="0"/>
          <w:numId w:val="2"/>
        </w:numPr>
      </w:pPr>
      <w:r>
        <w:rPr>
          <w:rFonts w:ascii="Arial" w:cs="Arial" w:eastAsia="Arial" w:hAnsi="Arial"/>
          <w:color w:val="1A2B4A"/>
          <w:sz w:val="22"/>
          <w:szCs w:val="22"/>
        </w:rPr>
        <w:t xml:space="preserve">Tracking giờ công, OT, nghỉ phép theo chuẩn Bộ Luật Lao động 2019.</w:t>
      </w:r>
    </w:p>
    <w:p>
      <w:pPr>
        <w:pStyle w:val="ListParagraph"/>
        <w:numPr>
          <w:ilvl w:val="0"/>
          <w:numId w:val="2"/>
        </w:numPr>
      </w:pPr>
      <w:r>
        <w:rPr>
          <w:rFonts w:ascii="Arial" w:cs="Arial" w:eastAsia="Arial" w:hAnsi="Arial"/>
          <w:color w:val="1A2B4A"/>
          <w:sz w:val="22"/>
          <w:szCs w:val="22"/>
        </w:rPr>
        <w:t xml:space="preserve">Guaranteed minimum orders per shift: hệ thống proactively push đơn khi cuối ca chưa đủ target.</w:t>
      </w:r>
    </w:p>
    <w:p>
      <w:pPr>
        <w:spacing w:before="20" w:after="20"/>
        <w:jc w:val="left"/>
      </w:pPr>
      <w:r>
        <w:rPr>
          <w:rFonts w:ascii="Arial" w:cs="Arial" w:eastAsia="Arial" w:hAnsi="Arial"/>
          <w:sz w:val="22"/>
          <w:szCs w:val="22"/>
        </w:rPr>
        <w:t xml:space="preserve"/>
      </w:r>
    </w:p>
    <w:p>
      <w:pPr>
        <w:pStyle w:val="Heading2"/>
        <w:spacing w:before="180" w:after="60"/>
      </w:pPr>
      <w:r>
        <w:rPr>
          <w:rFonts w:ascii="Arial" w:cs="Arial" w:eastAsia="Arial" w:hAnsi="Arial"/>
          <w:b/>
          <w:bCs/>
          <w:color w:val="10B981"/>
          <w:sz w:val="26"/>
          <w:szCs w:val="26"/>
        </w:rPr>
        <w:t xml:space="preserve">4.4  BHXH &amp; Payroll tự động — HR Dashboard mới</w:t>
      </w:r>
    </w:p>
    <w:p>
      <w:pPr>
        <w:pStyle w:val="ListParagraph"/>
        <w:numPr>
          <w:ilvl w:val="0"/>
          <w:numId w:val="2"/>
        </w:numPr>
      </w:pPr>
      <w:r>
        <w:rPr>
          <w:rFonts w:ascii="Arial" w:cs="Arial" w:eastAsia="Arial" w:hAnsi="Arial"/>
          <w:color w:val="1A2B4A"/>
          <w:sz w:val="22"/>
          <w:szCs w:val="22"/>
        </w:rPr>
        <w:t xml:space="preserve">Timesheet tự động từ clock-in/out data. Tính lương ca + KPI bonus + trích BHXH theo tháng.</w:t>
      </w:r>
    </w:p>
    <w:p>
      <w:pPr>
        <w:pStyle w:val="ListParagraph"/>
        <w:numPr>
          <w:ilvl w:val="0"/>
          <w:numId w:val="2"/>
        </w:numPr>
      </w:pPr>
      <w:r>
        <w:rPr>
          <w:rFonts w:ascii="Arial" w:cs="Arial" w:eastAsia="Arial" w:hAnsi="Arial"/>
          <w:color w:val="1A2B4A"/>
          <w:sz w:val="22"/>
          <w:szCs w:val="22"/>
        </w:rPr>
        <w:t xml:space="preserve">Tích hợp BHXH online (Cổng thông tin Bộ LĐ-TBXH). Tự động nộp hồ sơ và xác nhận.</w:t>
      </w:r>
    </w:p>
    <w:p>
      <w:pPr>
        <w:pStyle w:val="ListParagraph"/>
        <w:numPr>
          <w:ilvl w:val="0"/>
          <w:numId w:val="2"/>
        </w:numPr>
      </w:pPr>
      <w:r>
        <w:rPr>
          <w:rFonts w:ascii="Arial" w:cs="Arial" w:eastAsia="Arial" w:hAnsi="Arial"/>
          <w:color w:val="1A2B4A"/>
          <w:sz w:val="22"/>
          <w:szCs w:val="22"/>
        </w:rPr>
        <w:t xml:space="preserve">Báo cáo hiệu suất tách biệt FT vs FL phục vụ HR và Ops leadership.</w:t>
      </w:r>
    </w:p>
    <w:p>
      <w:pPr>
        <w:spacing w:before="20" w:after="20"/>
        <w:jc w:val="left"/>
      </w:pPr>
      <w:r>
        <w:rPr>
          <w:rFonts w:ascii="Arial" w:cs="Arial" w:eastAsia="Arial" w:hAnsi="Arial"/>
          <w:sz w:val="22"/>
          <w:szCs w:val="22"/>
        </w:rPr>
        <w:t xml:space="preserve"/>
      </w:r>
    </w:p>
    <w:p>
      <w:pPr>
        <w:spacing w:before="40" w:after="40"/>
        <w:jc w:val="left"/>
      </w:pPr>
      <w:r>
        <w:rPr>
          <w:rFonts w:ascii="Arial" w:cs="Arial" w:eastAsia="Arial" w:hAnsi="Arial"/>
          <w:sz w:val="22"/>
          <w:szCs w:val="22"/>
        </w:rPr>
        <w:t xml:space="preserve"/>
      </w:r>
    </w:p>
    <w:p>
      <w:pPr>
        <w:pBdr>
          <w:top w:val="single" w:color="0D1B3E" w:sz="12" w:space="6"/>
        </w:pBdr>
        <w:spacing w:before="280" w:after="100"/>
      </w:pPr>
      <w:r>
        <w:rPr>
          <w:rFonts w:ascii="Arial" w:cs="Arial" w:eastAsia="Arial" w:hAnsi="Arial"/>
          <w:b/>
          <w:bCs/>
          <w:color w:val="0D1B3E"/>
          <w:sz w:val="28"/>
          <w:szCs w:val="28"/>
        </w:rPr>
        <w:t xml:space="preserve">5. THAY ĐỔI SẢN PHẨM &amp; ỨNG DỤNG</w:t>
      </w:r>
    </w:p>
    <w:p>
      <w:pPr>
        <w:spacing w:before="60" w:after="60"/>
        <w:jc w:val="left"/>
      </w:pPr>
      <w:r>
        <w:rPr>
          <w:rFonts w:ascii="Arial" w:cs="Arial" w:eastAsia="Arial" w:hAnsi="Arial"/>
          <w:color w:val="1A2B4A"/>
          <w:sz w:val="22"/>
          <w:szCs w:val="22"/>
        </w:rPr>
        <w:t xml:space="preserve">Phân tích chi tiết các thay đổi cần thiết theo từng layer kỹ thuật: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4406"/>
      </w:tblGrid>
      <w:tr>
        <w:trPr>
          <w:tblHeader/>
        </w:trPr>
        <w:tc>
          <w:tcPr>
            <w:tcW w:type="dxa" w:w="1600"/>
            <w:tcBorders>
              <w:top w:val="single" w:color="0D1B3E" w:sz="4"/>
              <w:left w:val="single" w:color="0D1B3E" w:sz="4"/>
              <w:bottom w:val="single" w:color="0D1B3E" w:sz="4"/>
              <w:right w:val="single" w:color="0D1B3E" w:sz="4"/>
            </w:tcBorders>
            <w:shd w:fill="0D1B3E" w:val="clear"/>
            <w:tcMar>
              <w:top w:type="dxa" w:w="100"/>
              <w:left w:type="dxa" w:w="140"/>
              <w:bottom w:type="dxa" w:w="100"/>
              <w:right w:type="dxa" w:w="140"/>
            </w:tcMar>
            <w:vAlign w:val="top"/>
          </w:tcPr>
          <w:p>
            <w:pPr>
              <w:spacing w:before="80" w:after="80"/>
              <w:jc w:val="left"/>
            </w:pPr>
            <w:r>
              <w:rPr>
                <w:rFonts w:ascii="Arial" w:cs="Arial" w:eastAsia="Arial" w:hAnsi="Arial"/>
                <w:b/>
                <w:bCs/>
                <w:color w:val="FFFFFF"/>
                <w:sz w:val="20"/>
                <w:szCs w:val="20"/>
              </w:rPr>
              <w:t xml:space="preserve">Layer</w:t>
            </w:r>
          </w:p>
        </w:tc>
        <w:tc>
          <w:tcPr>
            <w:tcW w:type="dxa" w:w="3500"/>
            <w:tcBorders>
              <w:top w:val="single" w:color="0D1B3E" w:sz="4"/>
              <w:left w:val="single" w:color="0D1B3E" w:sz="4"/>
              <w:bottom w:val="single" w:color="0D1B3E" w:sz="4"/>
              <w:right w:val="single" w:color="0D1B3E" w:sz="4"/>
            </w:tcBorders>
            <w:shd w:fill="0D1B3E" w:val="clear"/>
            <w:tcMar>
              <w:top w:type="dxa" w:w="100"/>
              <w:left w:type="dxa" w:w="140"/>
              <w:bottom w:type="dxa" w:w="100"/>
              <w:right w:type="dxa" w:w="140"/>
            </w:tcMar>
            <w:vAlign w:val="top"/>
          </w:tcPr>
          <w:p>
            <w:pPr>
              <w:spacing w:before="80" w:after="80"/>
              <w:jc w:val="left"/>
            </w:pPr>
            <w:r>
              <w:rPr>
                <w:rFonts w:ascii="Arial" w:cs="Arial" w:eastAsia="Arial" w:hAnsi="Arial"/>
                <w:b/>
                <w:bCs/>
                <w:color w:val="FFFFFF"/>
                <w:sz w:val="20"/>
                <w:szCs w:val="20"/>
              </w:rPr>
              <w:t xml:space="preserve">Thay đổi</w:t>
            </w:r>
          </w:p>
        </w:tc>
        <w:tc>
          <w:tcPr>
            <w:tcW w:type="dxa" w:w="4406"/>
            <w:tcBorders>
              <w:top w:val="single" w:color="0D1B3E" w:sz="4"/>
              <w:left w:val="single" w:color="0D1B3E" w:sz="4"/>
              <w:bottom w:val="single" w:color="0D1B3E" w:sz="4"/>
              <w:right w:val="single" w:color="0D1B3E" w:sz="4"/>
            </w:tcBorders>
            <w:shd w:fill="0D1B3E" w:val="clear"/>
            <w:tcMar>
              <w:top w:type="dxa" w:w="100"/>
              <w:left w:type="dxa" w:w="140"/>
              <w:bottom w:type="dxa" w:w="100"/>
              <w:right w:type="dxa" w:w="140"/>
            </w:tcMar>
            <w:vAlign w:val="top"/>
          </w:tcPr>
          <w:p>
            <w:pPr>
              <w:spacing w:before="80" w:after="80"/>
              <w:jc w:val="left"/>
            </w:pPr>
            <w:r>
              <w:rPr>
                <w:rFonts w:ascii="Arial" w:cs="Arial" w:eastAsia="Arial" w:hAnsi="Arial"/>
                <w:b/>
                <w:bCs/>
                <w:color w:val="FFFFFF"/>
                <w:sz w:val="20"/>
                <w:szCs w:val="20"/>
              </w:rPr>
              <w:t xml:space="preserve">Chi tiết kỹ thuật</w:t>
            </w:r>
          </w:p>
        </w:tc>
      </w:tr>
      <w:tr>
        <w:tc>
          <w:tcPr>
            <w:tcW w:type="dxa" w:w="16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Driver App</w:t>
            </w:r>
          </w:p>
        </w:tc>
        <w:tc>
          <w:tcPr>
            <w:tcW w:type="dxa" w:w="35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Profile &amp; routing logic</w:t>
            </w:r>
          </w:p>
        </w:tc>
        <w:tc>
          <w:tcPr>
            <w:tcW w:type="dxa" w:w="4406"/>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Thêm driver_type flag (FREELANCE | FULLTIME) trên profile. Toàn bộ UI render có điều kiện theo flag này. Cần migration script cho tài xế hiện tại.</w:t>
            </w:r>
          </w:p>
        </w:tc>
      </w:tr>
      <w:tr>
        <w:tc>
          <w:tcPr>
            <w:tcW w:type="dxa" w:w="16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Driver App</w:t>
            </w:r>
          </w:p>
        </w:tc>
        <w:tc>
          <w:tcPr>
            <w:tcW w:type="dxa" w:w="35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Order card UI</w:t>
            </w:r>
          </w:p>
        </w:tc>
        <w:tc>
          <w:tcPr>
            <w:tcW w:type="dxa" w:w="4406"/>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Ẩn fee_display, earning_estimate cho FT. Chỉ render: pickup/dropoff address, item type, required time. Response schema cần field mới: show_fee (boolean).</w:t>
            </w:r>
          </w:p>
        </w:tc>
      </w:tr>
      <w:tr>
        <w:tc>
          <w:tcPr>
            <w:tcW w:type="dxa" w:w="16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Driver App</w:t>
            </w:r>
          </w:p>
        </w:tc>
        <w:tc>
          <w:tcPr>
            <w:tcW w:type="dxa" w:w="35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Clock-in/out module (MỚI)</w:t>
            </w:r>
          </w:p>
        </w:tc>
        <w:tc>
          <w:tcPr>
            <w:tcW w:type="dxa" w:w="4406"/>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Màn hình hoàn toàn mới. Shift timer, order counter/target, KPI progress bar. Gọi API shift_start / shift_end. Cần offline-first design cho vùng sóng yếu.</w:t>
            </w:r>
          </w:p>
        </w:tc>
      </w:tr>
      <w:tr>
        <w:tc>
          <w:tcPr>
            <w:tcW w:type="dxa" w:w="16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Driver App</w:t>
            </w:r>
          </w:p>
        </w:tc>
        <w:tc>
          <w:tcPr>
            <w:tcW w:type="dxa" w:w="35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Earnings screen</w:t>
            </w:r>
          </w:p>
        </w:tc>
        <w:tc>
          <w:tcPr>
            <w:tcW w:type="dxa" w:w="4406"/>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Thay commission_today bằng shift_salary_month, working_days, bhxh_contribution. Payslip PDF viewer tích hợp.</w:t>
            </w:r>
          </w:p>
        </w:tc>
      </w:tr>
      <w:tr>
        <w:tc>
          <w:tcPr>
            <w:tcW w:type="dxa" w:w="16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Dispatch Engine</w:t>
            </w:r>
          </w:p>
        </w:tc>
        <w:tc>
          <w:tcPr>
            <w:tcW w:type="dxa" w:w="35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FT pool routing (MỚI)</w:t>
            </w:r>
          </w:p>
        </w:tc>
        <w:tc>
          <w:tcPr>
            <w:tcW w:type="dxa" w:w="4406"/>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Logic 2 tầng: FT pool first → FL fallback sau timeout T. Config timeout per service_type và geofence. Pool membership API: enroll_ft_driver, remove_ft_driver.</w:t>
            </w:r>
          </w:p>
        </w:tc>
      </w:tr>
      <w:tr>
        <w:tc>
          <w:tcPr>
            <w:tcW w:type="dxa" w:w="16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Dispatch Engine</w:t>
            </w:r>
          </w:p>
        </w:tc>
        <w:tc>
          <w:tcPr>
            <w:tcW w:type="dxa" w:w="35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Guaranteed min orders</w:t>
            </w:r>
          </w:p>
        </w:tc>
        <w:tc>
          <w:tcPr>
            <w:tcW w:type="dxa" w:w="4406"/>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Proactive push đơn vào FT driver khi cuối ca chưa đủ minimum_orders_per_shift. Cần scheduler job chạy mỗi 15 phút kiểm tra ca sắp kết thúc.</w:t>
            </w:r>
          </w:p>
        </w:tc>
      </w:tr>
      <w:tr>
        <w:tc>
          <w:tcPr>
            <w:tcW w:type="dxa" w:w="16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Dispatch Engine</w:t>
            </w:r>
          </w:p>
        </w:tc>
        <w:tc>
          <w:tcPr>
            <w:tcW w:type="dxa" w:w="35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SLA tracking tách biệt</w:t>
            </w:r>
          </w:p>
        </w:tc>
        <w:tc>
          <w:tcPr>
            <w:tcW w:type="dxa" w:w="4406"/>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Dashboard metrics phân tách FT vs FL: dispatch_success_rate, fallback_rate, ontime_rate, SLA_breach_rate. Alert khi fallback &gt; 10%.</w:t>
            </w:r>
          </w:p>
        </w:tc>
      </w:tr>
      <w:tr>
        <w:tc>
          <w:tcPr>
            <w:tcW w:type="dxa" w:w="16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HR Dashboard (MỚI)</w:t>
            </w:r>
          </w:p>
        </w:tc>
        <w:tc>
          <w:tcPr>
            <w:tcW w:type="dxa" w:w="35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Timesheet &amp; ca làm việc</w:t>
            </w:r>
          </w:p>
        </w:tc>
        <w:tc>
          <w:tcPr>
            <w:tcW w:type="dxa" w:w="4406"/>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Lịch ca, swap ca, phê duyệt nghỉ phép. Tính giờ công tự động từ clock-in/out log. Export Excel theo tháng cho payroll.</w:t>
            </w:r>
          </w:p>
        </w:tc>
      </w:tr>
      <w:tr>
        <w:tc>
          <w:tcPr>
            <w:tcW w:type="dxa" w:w="16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HR Dashboard (MỚI)</w:t>
            </w:r>
          </w:p>
        </w:tc>
        <w:tc>
          <w:tcPr>
            <w:tcW w:type="dxa" w:w="35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Payroll &amp; BHXH</w:t>
            </w:r>
          </w:p>
        </w:tc>
        <w:tc>
          <w:tcPr>
            <w:tcW w:type="dxa" w:w="4406"/>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Tính lương: lương_ca × ngày_công + bonus_KPI - trích_BHXH. Tích hợp API BHXH online. Auto-submit hồ sơ hàng tháng. Alert khi có sai sót.</w:t>
            </w:r>
          </w:p>
        </w:tc>
      </w:tr>
    </w:tbl>
    <w:p>
      <w:pPr>
        <w:spacing w:before="80" w:after="40"/>
        <w:jc w:val="left"/>
      </w:pPr>
      <w:r>
        <w:rPr>
          <w:rFonts w:ascii="Arial" w:cs="Arial" w:eastAsia="Arial" w:hAnsi="Arial"/>
          <w:sz w:val="22"/>
          <w:szCs w:val="22"/>
        </w:rPr>
        <w:t xml:space="preserve"/>
      </w:r>
    </w:p>
    <w:p>
      <w:pPr>
        <w:pBdr>
          <w:top w:val="single" w:color="10B981" w:sz="12" w:space="6"/>
        </w:pBdr>
        <w:spacing w:before="280" w:after="100"/>
      </w:pPr>
      <w:r>
        <w:rPr>
          <w:rFonts w:ascii="Arial" w:cs="Arial" w:eastAsia="Arial" w:hAnsi="Arial"/>
          <w:b/>
          <w:bCs/>
          <w:color w:val="10B981"/>
          <w:sz w:val="28"/>
          <w:szCs w:val="28"/>
        </w:rPr>
        <w:t xml:space="preserve">6. KPI &amp; SUCCESS METRICS</w:t>
      </w:r>
    </w:p>
    <w:p>
      <w:pPr>
        <w:spacing w:before="60" w:after="60"/>
        <w:jc w:val="left"/>
      </w:pPr>
      <w:r>
        <w:rPr>
          <w:rFonts w:ascii="Arial" w:cs="Arial" w:eastAsia="Arial" w:hAnsi="Arial"/>
          <w:color w:val="1A2B4A"/>
          <w:sz w:val="22"/>
          <w:szCs w:val="22"/>
        </w:rPr>
        <w:t xml:space="preserve">Các chỉ số đo lường hiệu quả pilot. Đánh giá hàng tuần trong 14 tuần đầu:</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1706"/>
        <w:gridCol w:w="1000"/>
      </w:tblGrid>
      <w:tr>
        <w:trPr>
          <w:tblHeader/>
        </w:trPr>
        <w:tc>
          <w:tcPr>
            <w:tcW w:type="dxa" w:w="3400"/>
            <w:tcBorders>
              <w:top w:val="single" w:color="0D1B3E" w:sz="4"/>
              <w:left w:val="single" w:color="0D1B3E" w:sz="4"/>
              <w:bottom w:val="single" w:color="0D1B3E" w:sz="4"/>
              <w:right w:val="single" w:color="0D1B3E" w:sz="4"/>
            </w:tcBorders>
            <w:shd w:fill="0D1B3E" w:val="clear"/>
            <w:tcMar>
              <w:top w:type="dxa" w:w="100"/>
              <w:left w:type="dxa" w:w="140"/>
              <w:bottom w:type="dxa" w:w="100"/>
              <w:right w:type="dxa" w:w="140"/>
            </w:tcMar>
            <w:vAlign w:val="top"/>
          </w:tcPr>
          <w:p>
            <w:pPr>
              <w:spacing w:before="80" w:after="80"/>
              <w:jc w:val="left"/>
            </w:pPr>
            <w:r>
              <w:rPr>
                <w:rFonts w:ascii="Arial" w:cs="Arial" w:eastAsia="Arial" w:hAnsi="Arial"/>
                <w:b/>
                <w:bCs/>
                <w:color w:val="FFFFFF"/>
                <w:sz w:val="20"/>
                <w:szCs w:val="20"/>
              </w:rPr>
              <w:t xml:space="preserve">Metric</w:t>
            </w:r>
          </w:p>
        </w:tc>
        <w:tc>
          <w:tcPr>
            <w:tcW w:type="dxa" w:w="1700"/>
            <w:tcBorders>
              <w:top w:val="single" w:color="0D1B3E" w:sz="4"/>
              <w:left w:val="single" w:color="0D1B3E" w:sz="4"/>
              <w:bottom w:val="single" w:color="0D1B3E" w:sz="4"/>
              <w:right w:val="single" w:color="0D1B3E" w:sz="4"/>
            </w:tcBorders>
            <w:shd w:fill="0D1B3E" w:val="clear"/>
            <w:tcMar>
              <w:top w:type="dxa" w:w="100"/>
              <w:left w:type="dxa" w:w="140"/>
              <w:bottom w:type="dxa" w:w="100"/>
              <w:right w:type="dxa" w:w="140"/>
            </w:tcMar>
            <w:vAlign w:val="top"/>
          </w:tcPr>
          <w:p>
            <w:pPr>
              <w:spacing w:before="80" w:after="80"/>
              <w:jc w:val="left"/>
            </w:pPr>
            <w:r>
              <w:rPr>
                <w:rFonts w:ascii="Arial" w:cs="Arial" w:eastAsia="Arial" w:hAnsi="Arial"/>
                <w:b/>
                <w:bCs/>
                <w:color w:val="FFFFFF"/>
                <w:sz w:val="20"/>
                <w:szCs w:val="20"/>
              </w:rPr>
              <w:t xml:space="preserve">Baseline (FL)</w:t>
            </w:r>
          </w:p>
        </w:tc>
        <w:tc>
          <w:tcPr>
            <w:tcW w:type="dxa" w:w="1700"/>
            <w:tcBorders>
              <w:top w:val="single" w:color="0D1B3E" w:sz="4"/>
              <w:left w:val="single" w:color="0D1B3E" w:sz="4"/>
              <w:bottom w:val="single" w:color="0D1B3E" w:sz="4"/>
              <w:right w:val="single" w:color="0D1B3E" w:sz="4"/>
            </w:tcBorders>
            <w:shd w:fill="0D1B3E" w:val="clear"/>
            <w:tcMar>
              <w:top w:type="dxa" w:w="100"/>
              <w:left w:type="dxa" w:w="140"/>
              <w:bottom w:type="dxa" w:w="100"/>
              <w:right w:type="dxa" w:w="140"/>
            </w:tcMar>
            <w:vAlign w:val="top"/>
          </w:tcPr>
          <w:p>
            <w:pPr>
              <w:spacing w:before="80" w:after="80"/>
              <w:jc w:val="left"/>
            </w:pPr>
            <w:r>
              <w:rPr>
                <w:rFonts w:ascii="Arial" w:cs="Arial" w:eastAsia="Arial" w:hAnsi="Arial"/>
                <w:b/>
                <w:bCs/>
                <w:color w:val="FFFFFF"/>
                <w:sz w:val="20"/>
                <w:szCs w:val="20"/>
              </w:rPr>
              <w:t xml:space="preserve">Target (FT)</w:t>
            </w:r>
          </w:p>
        </w:tc>
        <w:tc>
          <w:tcPr>
            <w:tcW w:type="dxa" w:w="1706"/>
            <w:tcBorders>
              <w:top w:val="single" w:color="0D1B3E" w:sz="4"/>
              <w:left w:val="single" w:color="0D1B3E" w:sz="4"/>
              <w:bottom w:val="single" w:color="0D1B3E" w:sz="4"/>
              <w:right w:val="single" w:color="0D1B3E" w:sz="4"/>
            </w:tcBorders>
            <w:shd w:fill="0D1B3E" w:val="clear"/>
            <w:tcMar>
              <w:top w:type="dxa" w:w="100"/>
              <w:left w:type="dxa" w:w="140"/>
              <w:bottom w:type="dxa" w:w="100"/>
              <w:right w:type="dxa" w:w="140"/>
            </w:tcMar>
            <w:vAlign w:val="top"/>
          </w:tcPr>
          <w:p>
            <w:pPr>
              <w:spacing w:before="80" w:after="80"/>
              <w:jc w:val="left"/>
            </w:pPr>
            <w:r>
              <w:rPr>
                <w:rFonts w:ascii="Arial" w:cs="Arial" w:eastAsia="Arial" w:hAnsi="Arial"/>
                <w:b/>
                <w:bCs/>
                <w:color w:val="FFFFFF"/>
                <w:sz w:val="20"/>
                <w:szCs w:val="20"/>
              </w:rPr>
              <w:t xml:space="preserve">Đo lường</w:t>
            </w:r>
          </w:p>
        </w:tc>
        <w:tc>
          <w:tcPr>
            <w:tcW w:type="dxa" w:w="1000"/>
            <w:tcBorders>
              <w:top w:val="single" w:color="0D1B3E" w:sz="4"/>
              <w:left w:val="single" w:color="0D1B3E" w:sz="4"/>
              <w:bottom w:val="single" w:color="0D1B3E" w:sz="4"/>
              <w:right w:val="single" w:color="0D1B3E" w:sz="4"/>
            </w:tcBorders>
            <w:shd w:fill="0D1B3E" w:val="clear"/>
            <w:tcMar>
              <w:top w:type="dxa" w:w="100"/>
              <w:left w:type="dxa" w:w="140"/>
              <w:bottom w:type="dxa" w:w="100"/>
              <w:right w:type="dxa" w:w="140"/>
            </w:tcMar>
            <w:vAlign w:val="top"/>
          </w:tcPr>
          <w:p>
            <w:pPr>
              <w:spacing w:before="80" w:after="80"/>
              <w:jc w:val="left"/>
            </w:pPr>
            <w:r>
              <w:rPr>
                <w:rFonts w:ascii="Arial" w:cs="Arial" w:eastAsia="Arial" w:hAnsi="Arial"/>
                <w:b/>
                <w:bCs/>
                <w:color w:val="FFFFFF"/>
                <w:sz w:val="20"/>
                <w:szCs w:val="20"/>
              </w:rPr>
              <w:t xml:space="preserve">Ưu tiên</w:t>
            </w:r>
          </w:p>
        </w:tc>
      </w:tr>
      <w:tr>
        <w:tc>
          <w:tcPr>
            <w:tcW w:type="dxa" w:w="34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FT driver không thấy phí ship</w:t>
            </w:r>
          </w:p>
        </w:tc>
        <w:tc>
          <w:tcPr>
            <w:tcW w:type="dxa" w:w="17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N/A</w:t>
            </w:r>
          </w:p>
        </w:tc>
        <w:tc>
          <w:tcPr>
            <w:tcW w:type="dxa" w:w="17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100%</w:t>
            </w:r>
          </w:p>
        </w:tc>
        <w:tc>
          <w:tcPr>
            <w:tcW w:type="dxa" w:w="1706"/>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Realtime</w:t>
            </w:r>
          </w:p>
        </w:tc>
        <w:tc>
          <w:tcPr>
            <w:tcW w:type="dxa" w:w="10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P0</w:t>
            </w:r>
          </w:p>
        </w:tc>
      </w:tr>
      <w:tr>
        <w:tc>
          <w:tcPr>
            <w:tcW w:type="dxa" w:w="34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Dispatch thành công vào FT pool</w:t>
            </w:r>
          </w:p>
        </w:tc>
        <w:tc>
          <w:tcPr>
            <w:tcW w:type="dxa" w:w="17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N/A</w:t>
            </w:r>
          </w:p>
        </w:tc>
        <w:tc>
          <w:tcPr>
            <w:tcW w:type="dxa" w:w="17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≥95%</w:t>
            </w:r>
          </w:p>
        </w:tc>
        <w:tc>
          <w:tcPr>
            <w:tcW w:type="dxa" w:w="1706"/>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Hàng ngày</w:t>
            </w:r>
          </w:p>
        </w:tc>
        <w:tc>
          <w:tcPr>
            <w:tcW w:type="dxa" w:w="10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P0</w:t>
            </w:r>
          </w:p>
        </w:tc>
      </w:tr>
      <w:tr>
        <w:tc>
          <w:tcPr>
            <w:tcW w:type="dxa" w:w="34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Thu nhập đạt cam kết hợp đồng</w:t>
            </w:r>
          </w:p>
        </w:tc>
        <w:tc>
          <w:tcPr>
            <w:tcW w:type="dxa" w:w="17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N/A</w:t>
            </w:r>
          </w:p>
        </w:tc>
        <w:tc>
          <w:tcPr>
            <w:tcW w:type="dxa" w:w="17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≥90% tx/tháng</w:t>
            </w:r>
          </w:p>
        </w:tc>
        <w:tc>
          <w:tcPr>
            <w:tcW w:type="dxa" w:w="1706"/>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Hàng tháng</w:t>
            </w:r>
          </w:p>
        </w:tc>
        <w:tc>
          <w:tcPr>
            <w:tcW w:type="dxa" w:w="10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P0</w:t>
            </w:r>
          </w:p>
        </w:tc>
      </w:tr>
      <w:tr>
        <w:tc>
          <w:tcPr>
            <w:tcW w:type="dxa" w:w="34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Retention FT driver sau 3 tháng</w:t>
            </w:r>
          </w:p>
        </w:tc>
        <w:tc>
          <w:tcPr>
            <w:tcW w:type="dxa" w:w="17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72% (FL)</w:t>
            </w:r>
          </w:p>
        </w:tc>
        <w:tc>
          <w:tcPr>
            <w:tcW w:type="dxa" w:w="17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≥85%</w:t>
            </w:r>
          </w:p>
        </w:tc>
        <w:tc>
          <w:tcPr>
            <w:tcW w:type="dxa" w:w="1706"/>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Hàng tháng</w:t>
            </w:r>
          </w:p>
        </w:tc>
        <w:tc>
          <w:tcPr>
            <w:tcW w:type="dxa" w:w="10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P0</w:t>
            </w:r>
          </w:p>
        </w:tc>
      </w:tr>
      <w:tr>
        <w:tc>
          <w:tcPr>
            <w:tcW w:type="dxa" w:w="34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SLA on-time delivery</w:t>
            </w:r>
          </w:p>
        </w:tc>
        <w:tc>
          <w:tcPr>
            <w:tcW w:type="dxa" w:w="17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82% (FL)</w:t>
            </w:r>
          </w:p>
        </w:tc>
        <w:tc>
          <w:tcPr>
            <w:tcW w:type="dxa" w:w="17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≥94%</w:t>
            </w:r>
          </w:p>
        </w:tc>
        <w:tc>
          <w:tcPr>
            <w:tcW w:type="dxa" w:w="1706"/>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Hàng ngày</w:t>
            </w:r>
          </w:p>
        </w:tc>
        <w:tc>
          <w:tcPr>
            <w:tcW w:type="dxa" w:w="10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P1</w:t>
            </w:r>
          </w:p>
        </w:tc>
      </w:tr>
      <w:tr>
        <w:tc>
          <w:tcPr>
            <w:tcW w:type="dxa" w:w="34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Avg đơn / ca (8 tiếng)</w:t>
            </w:r>
          </w:p>
        </w:tc>
        <w:tc>
          <w:tcPr>
            <w:tcW w:type="dxa" w:w="17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12 đơn (FL)</w:t>
            </w:r>
          </w:p>
        </w:tc>
        <w:tc>
          <w:tcPr>
            <w:tcW w:type="dxa" w:w="17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≥16 đơn</w:t>
            </w:r>
          </w:p>
        </w:tc>
        <w:tc>
          <w:tcPr>
            <w:tcW w:type="dxa" w:w="1706"/>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Hàng tuần</w:t>
            </w:r>
          </w:p>
        </w:tc>
        <w:tc>
          <w:tcPr>
            <w:tcW w:type="dxa" w:w="10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P1</w:t>
            </w:r>
          </w:p>
        </w:tc>
      </w:tr>
      <w:tr>
        <w:tc>
          <w:tcPr>
            <w:tcW w:type="dxa" w:w="34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BHXH đóng đúng hạn</w:t>
            </w:r>
          </w:p>
        </w:tc>
        <w:tc>
          <w:tcPr>
            <w:tcW w:type="dxa" w:w="17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N/A</w:t>
            </w:r>
          </w:p>
        </w:tc>
        <w:tc>
          <w:tcPr>
            <w:tcW w:type="dxa" w:w="17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100%</w:t>
            </w:r>
          </w:p>
        </w:tc>
        <w:tc>
          <w:tcPr>
            <w:tcW w:type="dxa" w:w="1706"/>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Hàng tháng</w:t>
            </w:r>
          </w:p>
        </w:tc>
        <w:tc>
          <w:tcPr>
            <w:tcW w:type="dxa" w:w="10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P1</w:t>
            </w:r>
          </w:p>
        </w:tc>
      </w:tr>
      <w:tr>
        <w:tc>
          <w:tcPr>
            <w:tcW w:type="dxa" w:w="34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Driver satisfaction score</w:t>
            </w:r>
          </w:p>
        </w:tc>
        <w:tc>
          <w:tcPr>
            <w:tcW w:type="dxa" w:w="17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3.8/5 (FL)</w:t>
            </w:r>
          </w:p>
        </w:tc>
        <w:tc>
          <w:tcPr>
            <w:tcW w:type="dxa" w:w="17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≥4.3/5</w:t>
            </w:r>
          </w:p>
        </w:tc>
        <w:tc>
          <w:tcPr>
            <w:tcW w:type="dxa" w:w="1706"/>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Hàng tháng</w:t>
            </w:r>
          </w:p>
        </w:tc>
        <w:tc>
          <w:tcPr>
            <w:tcW w:type="dxa" w:w="10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P2</w:t>
            </w:r>
          </w:p>
        </w:tc>
      </w:tr>
      <w:tr>
        <w:tc>
          <w:tcPr>
            <w:tcW w:type="dxa" w:w="34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Fallback rate FT→FL</w:t>
            </w:r>
          </w:p>
        </w:tc>
        <w:tc>
          <w:tcPr>
            <w:tcW w:type="dxa" w:w="17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N/A</w:t>
            </w:r>
          </w:p>
        </w:tc>
        <w:tc>
          <w:tcPr>
            <w:tcW w:type="dxa" w:w="17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≤10%</w:t>
            </w:r>
          </w:p>
        </w:tc>
        <w:tc>
          <w:tcPr>
            <w:tcW w:type="dxa" w:w="1706"/>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Hàng ngày</w:t>
            </w:r>
          </w:p>
        </w:tc>
        <w:tc>
          <w:tcPr>
            <w:tcW w:type="dxa" w:w="10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P2</w:t>
            </w:r>
          </w:p>
        </w:tc>
      </w:tr>
    </w:tbl>
    <w:p>
      <w:pPr>
        <w:spacing w:before="80" w:after="40"/>
        <w:jc w:val="left"/>
      </w:pPr>
      <w:r>
        <w:rPr>
          <w:rFonts w:ascii="Arial" w:cs="Arial" w:eastAsia="Arial" w:hAnsi="Arial"/>
          <w:sz w:val="22"/>
          <w:szCs w:val="22"/>
        </w:rPr>
        <w:t xml:space="preserve"/>
      </w:r>
    </w:p>
    <w:p>
      <w:pPr>
        <w:pBdr>
          <w:top w:val="single" w:color="F59E0B" w:sz="12" w:space="6"/>
        </w:pBdr>
        <w:spacing w:before="280" w:after="100"/>
      </w:pPr>
      <w:r>
        <w:rPr>
          <w:rFonts w:ascii="Arial" w:cs="Arial" w:eastAsia="Arial" w:hAnsi="Arial"/>
          <w:b/>
          <w:bCs/>
          <w:color w:val="F59E0B"/>
          <w:sz w:val="28"/>
          <w:szCs w:val="28"/>
        </w:rPr>
        <w:t xml:space="preserve">7. KẾ HOẠCH PILOT — 14 TUẦN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300"/>
        <w:gridCol w:w="2206"/>
      </w:tblGrid>
      <w:tr>
        <w:trPr>
          <w:tblHeader/>
        </w:trPr>
        <w:tc>
          <w:tcPr>
            <w:tcW w:type="dxa" w:w="1400"/>
            <w:tcBorders>
              <w:top w:val="single" w:color="0D1B3E" w:sz="4"/>
              <w:left w:val="single" w:color="0D1B3E" w:sz="4"/>
              <w:bottom w:val="single" w:color="0D1B3E" w:sz="4"/>
              <w:right w:val="single" w:color="0D1B3E" w:sz="4"/>
            </w:tcBorders>
            <w:shd w:fill="0D1B3E" w:val="clear"/>
            <w:tcMar>
              <w:top w:type="dxa" w:w="100"/>
              <w:left w:type="dxa" w:w="140"/>
              <w:bottom w:type="dxa" w:w="100"/>
              <w:right w:type="dxa" w:w="140"/>
            </w:tcMar>
            <w:vAlign w:val="top"/>
          </w:tcPr>
          <w:p>
            <w:pPr>
              <w:spacing w:before="80" w:after="80"/>
              <w:jc w:val="left"/>
            </w:pPr>
            <w:r>
              <w:rPr>
                <w:rFonts w:ascii="Arial" w:cs="Arial" w:eastAsia="Arial" w:hAnsi="Arial"/>
                <w:b/>
                <w:bCs/>
                <w:color w:val="FFFFFF"/>
                <w:sz w:val="20"/>
                <w:szCs w:val="20"/>
              </w:rPr>
              <w:t xml:space="preserve">Giai đoạn</w:t>
            </w:r>
          </w:p>
        </w:tc>
        <w:tc>
          <w:tcPr>
            <w:tcW w:type="dxa" w:w="1600"/>
            <w:tcBorders>
              <w:top w:val="single" w:color="0D1B3E" w:sz="4"/>
              <w:left w:val="single" w:color="0D1B3E" w:sz="4"/>
              <w:bottom w:val="single" w:color="0D1B3E" w:sz="4"/>
              <w:right w:val="single" w:color="0D1B3E" w:sz="4"/>
            </w:tcBorders>
            <w:shd w:fill="0D1B3E" w:val="clear"/>
            <w:tcMar>
              <w:top w:type="dxa" w:w="100"/>
              <w:left w:type="dxa" w:w="140"/>
              <w:bottom w:type="dxa" w:w="100"/>
              <w:right w:type="dxa" w:w="140"/>
            </w:tcMar>
            <w:vAlign w:val="top"/>
          </w:tcPr>
          <w:p>
            <w:pPr>
              <w:spacing w:before="80" w:after="80"/>
              <w:jc w:val="left"/>
            </w:pPr>
            <w:r>
              <w:rPr>
                <w:rFonts w:ascii="Arial" w:cs="Arial" w:eastAsia="Arial" w:hAnsi="Arial"/>
                <w:b/>
                <w:bCs/>
                <w:color w:val="FFFFFF"/>
                <w:sz w:val="20"/>
                <w:szCs w:val="20"/>
              </w:rPr>
              <w:t xml:space="preserve">Timeline</w:t>
            </w:r>
          </w:p>
        </w:tc>
        <w:tc>
          <w:tcPr>
            <w:tcW w:type="dxa" w:w="4300"/>
            <w:tcBorders>
              <w:top w:val="single" w:color="0D1B3E" w:sz="4"/>
              <w:left w:val="single" w:color="0D1B3E" w:sz="4"/>
              <w:bottom w:val="single" w:color="0D1B3E" w:sz="4"/>
              <w:right w:val="single" w:color="0D1B3E" w:sz="4"/>
            </w:tcBorders>
            <w:shd w:fill="0D1B3E" w:val="clear"/>
            <w:tcMar>
              <w:top w:type="dxa" w:w="100"/>
              <w:left w:type="dxa" w:w="140"/>
              <w:bottom w:type="dxa" w:w="100"/>
              <w:right w:type="dxa" w:w="140"/>
            </w:tcMar>
            <w:vAlign w:val="top"/>
          </w:tcPr>
          <w:p>
            <w:pPr>
              <w:spacing w:before="80" w:after="80"/>
              <w:jc w:val="left"/>
            </w:pPr>
            <w:r>
              <w:rPr>
                <w:rFonts w:ascii="Arial" w:cs="Arial" w:eastAsia="Arial" w:hAnsi="Arial"/>
                <w:b/>
                <w:bCs/>
                <w:color w:val="FFFFFF"/>
                <w:sz w:val="20"/>
                <w:szCs w:val="20"/>
              </w:rPr>
              <w:t xml:space="preserve">Deliverables</w:t>
            </w:r>
          </w:p>
        </w:tc>
        <w:tc>
          <w:tcPr>
            <w:tcW w:type="dxa" w:w="2206"/>
            <w:tcBorders>
              <w:top w:val="single" w:color="0D1B3E" w:sz="4"/>
              <w:left w:val="single" w:color="0D1B3E" w:sz="4"/>
              <w:bottom w:val="single" w:color="0D1B3E" w:sz="4"/>
              <w:right w:val="single" w:color="0D1B3E" w:sz="4"/>
            </w:tcBorders>
            <w:shd w:fill="0D1B3E" w:val="clear"/>
            <w:tcMar>
              <w:top w:type="dxa" w:w="100"/>
              <w:left w:type="dxa" w:w="140"/>
              <w:bottom w:type="dxa" w:w="100"/>
              <w:right w:type="dxa" w:w="140"/>
            </w:tcMar>
            <w:vAlign w:val="top"/>
          </w:tcPr>
          <w:p>
            <w:pPr>
              <w:spacing w:before="80" w:after="80"/>
              <w:jc w:val="left"/>
            </w:pPr>
            <w:r>
              <w:rPr>
                <w:rFonts w:ascii="Arial" w:cs="Arial" w:eastAsia="Arial" w:hAnsi="Arial"/>
                <w:b/>
                <w:bCs/>
                <w:color w:val="FFFFFF"/>
                <w:sz w:val="20"/>
                <w:szCs w:val="20"/>
              </w:rPr>
              <w:t xml:space="preserve">Điều kiện pass</w:t>
            </w:r>
          </w:p>
        </w:tc>
      </w:tr>
      <w:tr>
        <w:tc>
          <w:tcPr>
            <w:tcW w:type="dxa" w:w="14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Phase 1
BUILD</w:t>
            </w:r>
          </w:p>
        </w:tc>
        <w:tc>
          <w:tcPr>
            <w:tcW w:type="dxa" w:w="16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Tuần 1–6</w:t>
            </w:r>
          </w:p>
        </w:tc>
        <w:tc>
          <w:tcPr>
            <w:tcW w:type="dxa" w:w="43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 Driver type flag &amp; routing logic
• Order card UI ẩn phí ship
• Clock-in/out module v1
• HR dashboard: timesheet cơ bản
• Dispatch FT pool routing (2 tầng)</w:t>
            </w:r>
          </w:p>
        </w:tc>
        <w:tc>
          <w:tcPr>
            <w:tcW w:type="dxa" w:w="2206"/>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QA pass trên staging. Dispatch latency &lt; 500ms. 0 bug P0 trước khi go-live.</w:t>
            </w:r>
          </w:p>
        </w:tc>
      </w:tr>
      <w:tr>
        <w:tc>
          <w:tcPr>
            <w:tcW w:type="dxa" w:w="14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Phase 2
PILOT</w:t>
            </w:r>
          </w:p>
        </w:tc>
        <w:tc>
          <w:tcPr>
            <w:tcW w:type="dxa" w:w="16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Tuần 7–10</w:t>
            </w:r>
          </w:p>
        </w:tc>
        <w:tc>
          <w:tcPr>
            <w:tcW w:type="dxa" w:w="4300"/>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 Pilot HCM với 1 Enterprise partner
• 50 FT driver, ca 8h/ngày
• Monitor KPI hàng ngày
• Driver feedback survey hàng tuần
• Weekly review với stakeholders</w:t>
            </w:r>
          </w:p>
        </w:tc>
        <w:tc>
          <w:tcPr>
            <w:tcW w:type="dxa" w:w="2206"/>
            <w:tcBorders>
              <w:top w:val="single" w:color="E2EBF0" w:sz="4"/>
              <w:left w:val="single" w:color="E2EBF0" w:sz="4"/>
              <w:bottom w:val="single" w:color="E2EBF0" w:sz="4"/>
              <w:right w:val="single" w:color="E2EBF0" w:sz="4"/>
            </w:tcBorders>
            <w:shd w:fill="F5F8FA"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Dispatch success ≥95%. Không có incident P0. Driver satisfaction ≥4.0/5.</w:t>
            </w:r>
          </w:p>
        </w:tc>
      </w:tr>
      <w:tr>
        <w:tc>
          <w:tcPr>
            <w:tcW w:type="dxa" w:w="14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Phase 3
SCÁLE</w:t>
            </w:r>
          </w:p>
        </w:tc>
        <w:tc>
          <w:tcPr>
            <w:tcW w:type="dxa" w:w="16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Tuần 11–14</w:t>
            </w:r>
          </w:p>
        </w:tc>
        <w:tc>
          <w:tcPr>
            <w:tcW w:type="dxa" w:w="43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 Phân tích KPI vs target
• Tích hợp BHXH &amp; payroll tự động
• Mở rộng lên 200 FT driver HCM
• Roadmap Hà Nội Q3 nếu pass
• Retro &amp; lessons learned doc</w:t>
            </w:r>
          </w:p>
        </w:tc>
        <w:tc>
          <w:tcPr>
            <w:tcW w:type="dxa" w:w="2206"/>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80" w:after="80"/>
              <w:jc w:val="left"/>
            </w:pPr>
            <w:r>
              <w:rPr>
                <w:rFonts w:ascii="Arial" w:cs="Arial" w:eastAsia="Arial" w:hAnsi="Arial"/>
                <w:color w:val="1A2B4A"/>
                <w:sz w:val="20"/>
                <w:szCs w:val="20"/>
              </w:rPr>
              <w:t xml:space="preserve">Retention ≥85%. Thu nhập đạt cam kết ≥90% tx. SLA ≥94%.</w:t>
            </w:r>
          </w:p>
        </w:tc>
      </w:tr>
    </w:tbl>
    <w:p>
      <w:pPr>
        <w:spacing w:before="80" w:after="40"/>
        <w:jc w:val="left"/>
      </w:pPr>
      <w:r>
        <w:rPr>
          <w:rFonts w:ascii="Arial" w:cs="Arial" w:eastAsia="Arial" w:hAnsi="Arial"/>
          <w:sz w:val="22"/>
          <w:szCs w:val="22"/>
        </w:rPr>
        <w:t xml:space="preserve"/>
      </w:r>
    </w:p>
    <w:p>
      <w:pPr>
        <w:pBdr>
          <w:top w:val="single" w:color="E85D30" w:sz="12" w:space="6"/>
        </w:pBdr>
        <w:spacing w:before="280" w:after="100"/>
      </w:pPr>
      <w:r>
        <w:rPr>
          <w:rFonts w:ascii="Arial" w:cs="Arial" w:eastAsia="Arial" w:hAnsi="Arial"/>
          <w:b/>
          <w:bCs/>
          <w:color w:val="E85D30"/>
          <w:sz w:val="28"/>
          <w:szCs w:val="28"/>
        </w:rPr>
        <w:t xml:space="preserve">8. RỦI RO &amp; PHƯƠNG ÁN GIẢM THIỂU</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606"/>
      </w:tblGrid>
      <w:tr>
        <w:trPr>
          <w:tblHeader/>
        </w:trPr>
        <w:tc>
          <w:tcPr>
            <w:tcW w:type="dxa" w:w="900"/>
            <w:tcBorders>
              <w:top w:val="single" w:color="0D1B3E" w:sz="4"/>
              <w:left w:val="single" w:color="0D1B3E" w:sz="4"/>
              <w:bottom w:val="single" w:color="0D1B3E" w:sz="4"/>
              <w:right w:val="single" w:color="0D1B3E" w:sz="4"/>
            </w:tcBorders>
            <w:shd w:fill="0D1B3E" w:val="clear"/>
            <w:tcMar>
              <w:top w:type="dxa" w:w="100"/>
              <w:left w:type="dxa" w:w="140"/>
              <w:bottom w:type="dxa" w:w="100"/>
              <w:right w:type="dxa" w:w="140"/>
            </w:tcMar>
            <w:vAlign w:val="top"/>
          </w:tcPr>
          <w:p>
            <w:pPr>
              <w:spacing w:before="80" w:after="80"/>
              <w:jc w:val="left"/>
            </w:pPr>
            <w:r>
              <w:rPr>
                <w:rFonts w:ascii="Arial" w:cs="Arial" w:eastAsia="Arial" w:hAnsi="Arial"/>
                <w:b/>
                <w:bCs/>
                <w:color w:val="FFFFFF"/>
                <w:sz w:val="20"/>
                <w:szCs w:val="20"/>
              </w:rPr>
              <w:t xml:space="preserve">Mức độ</w:t>
            </w:r>
          </w:p>
        </w:tc>
        <w:tc>
          <w:tcPr>
            <w:tcW w:type="dxa" w:w="3000"/>
            <w:tcBorders>
              <w:top w:val="single" w:color="0D1B3E" w:sz="4"/>
              <w:left w:val="single" w:color="0D1B3E" w:sz="4"/>
              <w:bottom w:val="single" w:color="0D1B3E" w:sz="4"/>
              <w:right w:val="single" w:color="0D1B3E" w:sz="4"/>
            </w:tcBorders>
            <w:shd w:fill="0D1B3E" w:val="clear"/>
            <w:tcMar>
              <w:top w:type="dxa" w:w="100"/>
              <w:left w:type="dxa" w:w="140"/>
              <w:bottom w:type="dxa" w:w="100"/>
              <w:right w:type="dxa" w:w="140"/>
            </w:tcMar>
            <w:vAlign w:val="top"/>
          </w:tcPr>
          <w:p>
            <w:pPr>
              <w:spacing w:before="80" w:after="80"/>
              <w:jc w:val="left"/>
            </w:pPr>
            <w:r>
              <w:rPr>
                <w:rFonts w:ascii="Arial" w:cs="Arial" w:eastAsia="Arial" w:hAnsi="Arial"/>
                <w:b/>
                <w:bCs/>
                <w:color w:val="FFFFFF"/>
                <w:sz w:val="20"/>
                <w:szCs w:val="20"/>
              </w:rPr>
              <w:t xml:space="preserve">Rủi ro</w:t>
            </w:r>
          </w:p>
        </w:tc>
        <w:tc>
          <w:tcPr>
            <w:tcW w:type="dxa" w:w="5606"/>
            <w:tcBorders>
              <w:top w:val="single" w:color="0D1B3E" w:sz="4"/>
              <w:left w:val="single" w:color="0D1B3E" w:sz="4"/>
              <w:bottom w:val="single" w:color="0D1B3E" w:sz="4"/>
              <w:right w:val="single" w:color="0D1B3E" w:sz="4"/>
            </w:tcBorders>
            <w:shd w:fill="0D1B3E" w:val="clear"/>
            <w:tcMar>
              <w:top w:type="dxa" w:w="100"/>
              <w:left w:type="dxa" w:w="140"/>
              <w:bottom w:type="dxa" w:w="100"/>
              <w:right w:type="dxa" w:w="140"/>
            </w:tcMar>
            <w:vAlign w:val="top"/>
          </w:tcPr>
          <w:p>
            <w:pPr>
              <w:spacing w:before="80" w:after="80"/>
              <w:jc w:val="left"/>
            </w:pPr>
            <w:r>
              <w:rPr>
                <w:rFonts w:ascii="Arial" w:cs="Arial" w:eastAsia="Arial" w:hAnsi="Arial"/>
                <w:b/>
                <w:bCs/>
                <w:color w:val="FFFFFF"/>
                <w:sz w:val="20"/>
                <w:szCs w:val="20"/>
              </w:rPr>
              <w:t xml:space="preserve">Mitigation</w:t>
            </w:r>
          </w:p>
        </w:tc>
      </w:tr>
      <w:tr>
        <w:tc>
          <w:tcPr>
            <w:tcW w:type="dxa" w:w="900"/>
            <w:tcBorders>
              <w:top w:val="single" w:color="E85D30" w:sz="4"/>
              <w:left w:val="single" w:color="E85D30" w:sz="4"/>
              <w:bottom w:val="single" w:color="E85D30" w:sz="4"/>
              <w:right w:val="single" w:color="E85D30" w:sz="4"/>
            </w:tcBorders>
            <w:shd w:fill="F5F8FA" w:val="clear"/>
            <w:tcMar>
              <w:top w:type="dxa" w:w="100"/>
              <w:left w:type="dxa" w:w="140"/>
              <w:bottom w:type="dxa" w:w="100"/>
              <w:right w:type="dxa" w:w="140"/>
            </w:tcMar>
            <w:vAlign w:val="top"/>
          </w:tcPr>
          <w:p>
            <w:pPr>
              <w:spacing w:before="80" w:after="80"/>
              <w:jc w:val="center"/>
            </w:pPr>
            <w:r>
              <w:rPr>
                <w:rFonts w:ascii="Arial" w:cs="Arial" w:eastAsia="Arial" w:hAnsi="Arial"/>
                <w:b/>
                <w:bCs/>
                <w:color w:val="E85D30"/>
                <w:sz w:val="18"/>
                <w:szCs w:val="18"/>
              </w:rPr>
              <w:t xml:space="preserve">HIGH</w:t>
            </w:r>
          </w:p>
        </w:tc>
        <w:tc>
          <w:tcPr>
            <w:tcW w:type="dxa" w:w="30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40" w:after="20"/>
              <w:jc w:val="left"/>
            </w:pPr>
            <w:r>
              <w:rPr>
                <w:rFonts w:ascii="Arial" w:cs="Arial" w:eastAsia="Arial" w:hAnsi="Arial"/>
                <w:b/>
                <w:bCs/>
                <w:color w:val="1A2B4A"/>
                <w:sz w:val="20"/>
                <w:szCs w:val="20"/>
              </w:rPr>
              <w:t xml:space="preserve">Chi phí cố định tăng mạnh</w:t>
            </w:r>
          </w:p>
          <w:p>
            <w:pPr>
              <w:spacing w:before="0" w:after="60"/>
              <w:jc w:val="left"/>
            </w:pPr>
            <w:r>
              <w:rPr>
                <w:rFonts w:ascii="Arial" w:cs="Arial" w:eastAsia="Arial" w:hAnsi="Arial"/>
                <w:color w:val="6B7280"/>
                <w:sz w:val="19"/>
                <w:szCs w:val="19"/>
              </w:rPr>
              <w:t xml:space="preserve">Lương + BHXH ngay cả khi ít đơn. Rủi ro cao ở thời điểm thấp điểm.</w:t>
            </w:r>
          </w:p>
        </w:tc>
        <w:tc>
          <w:tcPr>
            <w:tcW w:type="dxa" w:w="546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40" w:after="60"/>
              <w:jc w:val="left"/>
            </w:pPr>
            <w:r>
              <w:rPr>
                <w:rFonts w:ascii="Arial" w:cs="Arial" w:eastAsia="Arial" w:hAnsi="Arial"/>
                <w:b/>
                <w:bCs/>
                <w:color w:val="00B4A6"/>
                <w:sz w:val="19"/>
                <w:szCs w:val="19"/>
              </w:rPr>
              <w:t xml:space="preserve">Mitigation: </w:t>
            </w:r>
            <w:r>
              <w:rPr>
                <w:rFonts w:ascii="Arial" w:cs="Arial" w:eastAsia="Arial" w:hAnsi="Arial"/>
                <w:color w:val="1A2B4A"/>
                <w:sz w:val="19"/>
                <w:szCs w:val="19"/>
              </w:rPr>
              <w:t xml:space="preserve">Pilot nhỏ 50 driver. Hợp đồng thử việc 3 tháng. Break-even analysis trước khi scale. Xây mô hình tài chính chi tiết với Ops Finance.</w:t>
            </w:r>
          </w:p>
        </w:tc>
      </w:tr>
      <w:tr>
        <w:tc>
          <w:tcPr>
            <w:tcW w:type="dxa" w:w="900"/>
            <w:tcBorders>
              <w:top w:val="single" w:color="E85D30" w:sz="4"/>
              <w:left w:val="single" w:color="E85D30" w:sz="4"/>
              <w:bottom w:val="single" w:color="E85D30" w:sz="4"/>
              <w:right w:val="single" w:color="E85D30" w:sz="4"/>
            </w:tcBorders>
            <w:shd w:fill="F5F8FA" w:val="clear"/>
            <w:tcMar>
              <w:top w:type="dxa" w:w="100"/>
              <w:left w:type="dxa" w:w="140"/>
              <w:bottom w:type="dxa" w:w="100"/>
              <w:right w:type="dxa" w:w="140"/>
            </w:tcMar>
            <w:vAlign w:val="top"/>
          </w:tcPr>
          <w:p>
            <w:pPr>
              <w:spacing w:before="80" w:after="80"/>
              <w:jc w:val="center"/>
            </w:pPr>
            <w:r>
              <w:rPr>
                <w:rFonts w:ascii="Arial" w:cs="Arial" w:eastAsia="Arial" w:hAnsi="Arial"/>
                <w:b/>
                <w:bCs/>
                <w:color w:val="E85D30"/>
                <w:sz w:val="18"/>
                <w:szCs w:val="18"/>
              </w:rPr>
              <w:t xml:space="preserve">HIGH</w:t>
            </w:r>
          </w:p>
        </w:tc>
        <w:tc>
          <w:tcPr>
            <w:tcW w:type="dxa" w:w="30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40" w:after="20"/>
              <w:jc w:val="left"/>
            </w:pPr>
            <w:r>
              <w:rPr>
                <w:rFonts w:ascii="Arial" w:cs="Arial" w:eastAsia="Arial" w:hAnsi="Arial"/>
                <w:b/>
                <w:bCs/>
                <w:color w:val="1A2B4A"/>
                <w:sz w:val="20"/>
                <w:szCs w:val="20"/>
              </w:rPr>
              <w:t xml:space="preserve">Rủi ro pháp lý (Bộ LĐ 2019)</w:t>
            </w:r>
          </w:p>
          <w:p>
            <w:pPr>
              <w:spacing w:before="0" w:after="60"/>
              <w:jc w:val="left"/>
            </w:pPr>
            <w:r>
              <w:rPr>
                <w:rFonts w:ascii="Arial" w:cs="Arial" w:eastAsia="Arial" w:hAnsi="Arial"/>
                <w:color w:val="6B7280"/>
                <w:sz w:val="19"/>
                <w:szCs w:val="19"/>
              </w:rPr>
              <w:t xml:space="preserve">HĐLĐ đòi hỏi tuân thủ giờ làm tối đa, OT, nghỉ phép, thủ tục sa thải.</w:t>
            </w:r>
          </w:p>
        </w:tc>
        <w:tc>
          <w:tcPr>
            <w:tcW w:type="dxa" w:w="546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40" w:after="60"/>
              <w:jc w:val="left"/>
            </w:pPr>
            <w:r>
              <w:rPr>
                <w:rFonts w:ascii="Arial" w:cs="Arial" w:eastAsia="Arial" w:hAnsi="Arial"/>
                <w:b/>
                <w:bCs/>
                <w:color w:val="00B4A6"/>
                <w:sz w:val="19"/>
                <w:szCs w:val="19"/>
              </w:rPr>
              <w:t xml:space="preserve">Mitigation: </w:t>
            </w:r>
            <w:r>
              <w:rPr>
                <w:rFonts w:ascii="Arial" w:cs="Arial" w:eastAsia="Arial" w:hAnsi="Arial"/>
                <w:color w:val="1A2B4A"/>
                <w:sz w:val="19"/>
                <w:szCs w:val="19"/>
              </w:rPr>
              <w:t xml:space="preserve">Tư vấn pháp lý chuyên biệt trước khi ký hợp đồng đầu tiên. Xây HR module đúng chuẩn. Legal sign-off bắt buộc.</w:t>
            </w:r>
          </w:p>
        </w:tc>
      </w:tr>
      <w:tr>
        <w:tc>
          <w:tcPr>
            <w:tcW w:type="dxa" w:w="900"/>
            <w:tcBorders>
              <w:top w:val="single" w:color="F59E0B" w:sz="4"/>
              <w:left w:val="single" w:color="F59E0B" w:sz="4"/>
              <w:bottom w:val="single" w:color="F59E0B" w:sz="4"/>
              <w:right w:val="single" w:color="F59E0B" w:sz="4"/>
            </w:tcBorders>
            <w:shd w:fill="F5F8FA" w:val="clear"/>
            <w:tcMar>
              <w:top w:type="dxa" w:w="100"/>
              <w:left w:type="dxa" w:w="140"/>
              <w:bottom w:type="dxa" w:w="100"/>
              <w:right w:type="dxa" w:w="140"/>
            </w:tcMar>
            <w:vAlign w:val="top"/>
          </w:tcPr>
          <w:p>
            <w:pPr>
              <w:spacing w:before="80" w:after="80"/>
              <w:jc w:val="center"/>
            </w:pPr>
            <w:r>
              <w:rPr>
                <w:rFonts w:ascii="Arial" w:cs="Arial" w:eastAsia="Arial" w:hAnsi="Arial"/>
                <w:b/>
                <w:bCs/>
                <w:color w:val="F59E0B"/>
                <w:sz w:val="18"/>
                <w:szCs w:val="18"/>
              </w:rPr>
              <w:t xml:space="preserve">MED</w:t>
            </w:r>
          </w:p>
        </w:tc>
        <w:tc>
          <w:tcPr>
            <w:tcW w:type="dxa" w:w="30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40" w:after="20"/>
              <w:jc w:val="left"/>
            </w:pPr>
            <w:r>
              <w:rPr>
                <w:rFonts w:ascii="Arial" w:cs="Arial" w:eastAsia="Arial" w:hAnsi="Arial"/>
                <w:b/>
                <w:bCs/>
                <w:color w:val="1A2B4A"/>
                <w:sz w:val="20"/>
                <w:szCs w:val="20"/>
              </w:rPr>
              <w:t xml:space="preserve">Dispatch engine phức tạp hơn</w:t>
            </w:r>
          </w:p>
          <w:p>
            <w:pPr>
              <w:spacing w:before="0" w:after="60"/>
              <w:jc w:val="left"/>
            </w:pPr>
            <w:r>
              <w:rPr>
                <w:rFonts w:ascii="Arial" w:cs="Arial" w:eastAsia="Arial" w:hAnsi="Arial"/>
                <w:color w:val="6B7280"/>
                <w:sz w:val="19"/>
                <w:szCs w:val="19"/>
              </w:rPr>
              <w:t xml:space="preserve">Pool routing 2 tầng tăng độ phức tạp và nguy cơ dispatch delay.</w:t>
            </w:r>
          </w:p>
        </w:tc>
        <w:tc>
          <w:tcPr>
            <w:tcW w:type="dxa" w:w="546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40" w:after="60"/>
              <w:jc w:val="left"/>
            </w:pPr>
            <w:r>
              <w:rPr>
                <w:rFonts w:ascii="Arial" w:cs="Arial" w:eastAsia="Arial" w:hAnsi="Arial"/>
                <w:b/>
                <w:bCs/>
                <w:color w:val="00B4A6"/>
                <w:sz w:val="19"/>
                <w:szCs w:val="19"/>
              </w:rPr>
              <w:t xml:space="preserve">Mitigation: </w:t>
            </w:r>
            <w:r>
              <w:rPr>
                <w:rFonts w:ascii="Arial" w:cs="Arial" w:eastAsia="Arial" w:hAnsi="Arial"/>
                <w:color w:val="1A2B4A"/>
                <w:sz w:val="19"/>
                <w:szCs w:val="19"/>
              </w:rPr>
              <w:t xml:space="preserve">Timeout config linh hoạt per service type. A/B test các giá trị T. Monitor dispatch latency riêng. Rollback plan sẵn sàng.</w:t>
            </w:r>
          </w:p>
        </w:tc>
      </w:tr>
      <w:tr>
        <w:tc>
          <w:tcPr>
            <w:tcW w:type="dxa" w:w="900"/>
            <w:tcBorders>
              <w:top w:val="single" w:color="F59E0B" w:sz="4"/>
              <w:left w:val="single" w:color="F59E0B" w:sz="4"/>
              <w:bottom w:val="single" w:color="F59E0B" w:sz="4"/>
              <w:right w:val="single" w:color="F59E0B" w:sz="4"/>
            </w:tcBorders>
            <w:shd w:fill="F5F8FA" w:val="clear"/>
            <w:tcMar>
              <w:top w:type="dxa" w:w="100"/>
              <w:left w:type="dxa" w:w="140"/>
              <w:bottom w:type="dxa" w:w="100"/>
              <w:right w:type="dxa" w:w="140"/>
            </w:tcMar>
            <w:vAlign w:val="top"/>
          </w:tcPr>
          <w:p>
            <w:pPr>
              <w:spacing w:before="80" w:after="80"/>
              <w:jc w:val="center"/>
            </w:pPr>
            <w:r>
              <w:rPr>
                <w:rFonts w:ascii="Arial" w:cs="Arial" w:eastAsia="Arial" w:hAnsi="Arial"/>
                <w:b/>
                <w:bCs/>
                <w:color w:val="F59E0B"/>
                <w:sz w:val="18"/>
                <w:szCs w:val="18"/>
              </w:rPr>
              <w:t xml:space="preserve">MED</w:t>
            </w:r>
          </w:p>
        </w:tc>
        <w:tc>
          <w:tcPr>
            <w:tcW w:type="dxa" w:w="30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40" w:after="20"/>
              <w:jc w:val="left"/>
            </w:pPr>
            <w:r>
              <w:rPr>
                <w:rFonts w:ascii="Arial" w:cs="Arial" w:eastAsia="Arial" w:hAnsi="Arial"/>
                <w:b/>
                <w:bCs/>
                <w:color w:val="1A2B4A"/>
                <w:sz w:val="20"/>
                <w:szCs w:val="20"/>
              </w:rPr>
              <w:t xml:space="preserve">FT driver không muốn chuyển đổi</w:t>
            </w:r>
          </w:p>
          <w:p>
            <w:pPr>
              <w:spacing w:before="0" w:after="60"/>
              <w:jc w:val="left"/>
            </w:pPr>
            <w:r>
              <w:rPr>
                <w:rFonts w:ascii="Arial" w:cs="Arial" w:eastAsia="Arial" w:hAnsi="Arial"/>
                <w:color w:val="6B7280"/>
                <w:sz w:val="19"/>
                <w:szCs w:val="19"/>
              </w:rPr>
              <w:t xml:space="preserve">Driver quen tự do về giờ giấc có thể không phù hợp ca cố định.</w:t>
            </w:r>
          </w:p>
        </w:tc>
        <w:tc>
          <w:tcPr>
            <w:tcW w:type="dxa" w:w="546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40" w:after="60"/>
              <w:jc w:val="left"/>
            </w:pPr>
            <w:r>
              <w:rPr>
                <w:rFonts w:ascii="Arial" w:cs="Arial" w:eastAsia="Arial" w:hAnsi="Arial"/>
                <w:b/>
                <w:bCs/>
                <w:color w:val="00B4A6"/>
                <w:sz w:val="19"/>
                <w:szCs w:val="19"/>
              </w:rPr>
              <w:t xml:space="preserve">Mitigation: </w:t>
            </w:r>
            <w:r>
              <w:rPr>
                <w:rFonts w:ascii="Arial" w:cs="Arial" w:eastAsia="Arial" w:hAnsi="Arial"/>
                <w:color w:val="1A2B4A"/>
                <w:sz w:val="19"/>
                <w:szCs w:val="19"/>
              </w:rPr>
              <w:t xml:space="preserve">Tuyển mới thay vì ép chuyển đổi. Offer package rõ ràng: lương ổn định + BHXH + phụ cấp xăng xe. Không ảnh hưởng FL pool hiện tại.</w:t>
            </w:r>
          </w:p>
        </w:tc>
      </w:tr>
      <w:tr>
        <w:tc>
          <w:tcPr>
            <w:tcW w:type="dxa" w:w="900"/>
            <w:tcBorders>
              <w:top w:val="single" w:color="10B981" w:sz="4"/>
              <w:left w:val="single" w:color="10B981" w:sz="4"/>
              <w:bottom w:val="single" w:color="10B981" w:sz="4"/>
              <w:right w:val="single" w:color="10B981" w:sz="4"/>
            </w:tcBorders>
            <w:shd w:fill="F5F8FA" w:val="clear"/>
            <w:tcMar>
              <w:top w:type="dxa" w:w="100"/>
              <w:left w:type="dxa" w:w="140"/>
              <w:bottom w:type="dxa" w:w="100"/>
              <w:right w:type="dxa" w:w="140"/>
            </w:tcMar>
            <w:vAlign w:val="top"/>
          </w:tcPr>
          <w:p>
            <w:pPr>
              <w:spacing w:before="80" w:after="80"/>
              <w:jc w:val="center"/>
            </w:pPr>
            <w:r>
              <w:rPr>
                <w:rFonts w:ascii="Arial" w:cs="Arial" w:eastAsia="Arial" w:hAnsi="Arial"/>
                <w:b/>
                <w:bCs/>
                <w:color w:val="10B981"/>
                <w:sz w:val="18"/>
                <w:szCs w:val="18"/>
              </w:rPr>
              <w:t xml:space="preserve">LOW</w:t>
            </w:r>
          </w:p>
        </w:tc>
        <w:tc>
          <w:tcPr>
            <w:tcW w:type="dxa" w:w="300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40" w:after="20"/>
              <w:jc w:val="left"/>
            </w:pPr>
            <w:r>
              <w:rPr>
                <w:rFonts w:ascii="Arial" w:cs="Arial" w:eastAsia="Arial" w:hAnsi="Arial"/>
                <w:b/>
                <w:bCs/>
                <w:color w:val="1A2B4A"/>
                <w:sz w:val="20"/>
                <w:szCs w:val="20"/>
              </w:rPr>
              <w:t xml:space="preserve">Phụ thuộc vào Enterprise partner</w:t>
            </w:r>
          </w:p>
          <w:p>
            <w:pPr>
              <w:spacing w:before="0" w:after="60"/>
              <w:jc w:val="left"/>
            </w:pPr>
            <w:r>
              <w:rPr>
                <w:rFonts w:ascii="Arial" w:cs="Arial" w:eastAsia="Arial" w:hAnsi="Arial"/>
                <w:color w:val="6B7280"/>
                <w:sz w:val="19"/>
                <w:szCs w:val="19"/>
              </w:rPr>
              <w:t xml:space="preserve">Pilot cần ít nhất 1 partner cam kết đủ volume đơn để đảm bảo thu nhập FT driver.</w:t>
            </w:r>
          </w:p>
        </w:tc>
        <w:tc>
          <w:tcPr>
            <w:tcW w:type="dxa" w:w="5460"/>
            <w:tcBorders>
              <w:top w:val="single" w:color="E2EBF0" w:sz="4"/>
              <w:left w:val="single" w:color="E2EBF0" w:sz="4"/>
              <w:bottom w:val="single" w:color="E2EBF0" w:sz="4"/>
              <w:right w:val="single" w:color="E2EBF0" w:sz="4"/>
            </w:tcBorders>
            <w:shd w:fill="FFFFFF" w:val="clear"/>
            <w:tcMar>
              <w:top w:type="dxa" w:w="100"/>
              <w:left w:type="dxa" w:w="140"/>
              <w:bottom w:type="dxa" w:w="100"/>
              <w:right w:type="dxa" w:w="140"/>
            </w:tcMar>
            <w:vAlign w:val="top"/>
          </w:tcPr>
          <w:p>
            <w:pPr>
              <w:spacing w:before="40" w:after="60"/>
              <w:jc w:val="left"/>
            </w:pPr>
            <w:r>
              <w:rPr>
                <w:rFonts w:ascii="Arial" w:cs="Arial" w:eastAsia="Arial" w:hAnsi="Arial"/>
                <w:b/>
                <w:bCs/>
                <w:color w:val="00B4A6"/>
                <w:sz w:val="19"/>
                <w:szCs w:val="19"/>
              </w:rPr>
              <w:t xml:space="preserve">Mitigation: </w:t>
            </w:r>
            <w:r>
              <w:rPr>
                <w:rFonts w:ascii="Arial" w:cs="Arial" w:eastAsia="Arial" w:hAnsi="Arial"/>
                <w:color w:val="1A2B4A"/>
                <w:sz w:val="19"/>
                <w:szCs w:val="19"/>
              </w:rPr>
              <w:t xml:space="preserve">Xác định và ký MOU với partner trước khi kick-off Phase 1. Ưu tiên TikTok Shop hoặc sàn TMĐT có volume ổn định.</w:t>
            </w:r>
          </w:p>
        </w:tc>
      </w:tr>
    </w:tbl>
    <w:p>
      <w:pPr>
        <w:spacing w:before="80" w:after="40"/>
        <w:jc w:val="left"/>
      </w:pPr>
      <w:r>
        <w:rPr>
          <w:rFonts w:ascii="Arial" w:cs="Arial" w:eastAsia="Arial" w:hAnsi="Arial"/>
          <w:sz w:val="22"/>
          <w:szCs w:val="22"/>
        </w:rPr>
        <w:t xml:space="preserve"/>
      </w:r>
    </w:p>
    <w:p>
      <w:pPr>
        <w:pBdr>
          <w:top w:val="single" w:color="0D1B3E" w:sz="12" w:space="6"/>
        </w:pBdr>
        <w:spacing w:before="280" w:after="100"/>
      </w:pPr>
      <w:r>
        <w:rPr>
          <w:rFonts w:ascii="Arial" w:cs="Arial" w:eastAsia="Arial" w:hAnsi="Arial"/>
          <w:b/>
          <w:bCs/>
          <w:color w:val="0D1B3E"/>
          <w:sz w:val="28"/>
          <w:szCs w:val="28"/>
        </w:rPr>
        <w:t xml:space="preserve">9. BƯỚC TIẾP THEO &amp; YÊU CẦU PHÊ DUYỆT</w:t>
      </w:r>
    </w:p>
    <w:p>
      <w:pPr>
        <w:spacing w:before="60" w:after="80"/>
        <w:jc w:val="left"/>
      </w:pPr>
      <w:r>
        <w:rPr>
          <w:rFonts w:ascii="Arial" w:cs="Arial" w:eastAsia="Arial" w:hAnsi="Arial"/>
          <w:color w:val="1A2B4A"/>
          <w:sz w:val="22"/>
          <w:szCs w:val="22"/>
        </w:rPr>
        <w:t xml:space="preserve">Để kick-off Phase 1 vào tuần đầu Q2, cần phê duyệt các hạng mục sau trước ngày 31/03/2026:</w:t>
      </w:r>
    </w:p>
    <w:p>
      <w:pPr>
        <w:pStyle w:val="ListParagraph"/>
        <w:numPr>
          <w:ilvl w:val="0"/>
          <w:numId w:val="3"/>
        </w:numPr>
        <w:spacing w:before="60" w:after="60"/>
      </w:pPr>
      <w:r>
        <w:rPr>
          <w:rFonts w:ascii="Arial" w:cs="Arial" w:eastAsia="Arial" w:hAnsi="Arial"/>
          <w:color w:val="1A2B4A"/>
          <w:sz w:val="22"/>
          <w:szCs w:val="22"/>
        </w:rPr>
        <w:t xml:space="preserve">Phê duyệt scope &amp; budget cho Phase 1 (6 tuần build) — Cần từ: Product, Engineering, Finance.</w:t>
      </w:r>
    </w:p>
    <w:p>
      <w:pPr>
        <w:pStyle w:val="ListParagraph"/>
        <w:numPr>
          <w:ilvl w:val="0"/>
          <w:numId w:val="3"/>
        </w:numPr>
        <w:spacing w:before="60" w:after="60"/>
      </w:pPr>
      <w:r>
        <w:rPr>
          <w:rFonts w:ascii="Arial" w:cs="Arial" w:eastAsia="Arial" w:hAnsi="Arial"/>
          <w:color w:val="1A2B4A"/>
          <w:sz w:val="22"/>
          <w:szCs w:val="22"/>
        </w:rPr>
        <w:t xml:space="preserve">Legal review hợp đồng lao động với tư vấn pháp lý bên ngoài — Cần từ: Legal, HR.</w:t>
      </w:r>
    </w:p>
    <w:p>
      <w:pPr>
        <w:pStyle w:val="ListParagraph"/>
        <w:numPr>
          <w:ilvl w:val="0"/>
          <w:numId w:val="3"/>
        </w:numPr>
        <w:spacing w:before="60" w:after="60"/>
      </w:pPr>
      <w:r>
        <w:rPr>
          <w:rFonts w:ascii="Arial" w:cs="Arial" w:eastAsia="Arial" w:hAnsi="Arial"/>
          <w:color w:val="1A2B4A"/>
          <w:sz w:val="22"/>
          <w:szCs w:val="22"/>
        </w:rPr>
        <w:t xml:space="preserve">Xác định và ký MOU với ≥1 Enterprise partner để đảm bảo volume đơn cho pilot — Cần từ: BD/Sales.</w:t>
      </w:r>
    </w:p>
    <w:p>
      <w:pPr>
        <w:pStyle w:val="ListParagraph"/>
        <w:numPr>
          <w:ilvl w:val="0"/>
          <w:numId w:val="3"/>
        </w:numPr>
        <w:spacing w:before="60" w:after="60"/>
      </w:pPr>
      <w:r>
        <w:rPr>
          <w:rFonts w:ascii="Arial" w:cs="Arial" w:eastAsia="Arial" w:hAnsi="Arial"/>
          <w:color w:val="1A2B4A"/>
          <w:sz w:val="22"/>
          <w:szCs w:val="22"/>
        </w:rPr>
        <w:t xml:space="preserve">Kick-off sprint planning với team Drivers (FE/BE) + HR + Ops — Sau khi có phê duyệt từ (1).</w:t>
      </w:r>
    </w:p>
    <w:p>
      <w:pPr>
        <w:spacing w:before="80" w:after="40"/>
        <w:jc w:val="left"/>
      </w:pPr>
      <w:r>
        <w:rPr>
          <w:rFonts w:ascii="Arial" w:cs="Arial" w:eastAsia="Arial" w:hAnsi="Arial"/>
          <w:sz w:val="22"/>
          <w:szCs w:val="22"/>
        </w:rPr>
        <w:t xml:space="preserve"/>
      </w:r>
    </w:p>
    <w:p>
      <w:pPr>
        <w:pBdr>
          <w:top w:val="single" w:color="00B4A6" w:sz="6" w:space="6"/>
        </w:pBdr>
        <w:spacing w:before="120" w:after="80"/>
        <w:jc w:val="center"/>
      </w:pPr>
      <w:r>
        <w:rPr>
          <w:rFonts w:ascii="Arial" w:cs="Arial" w:eastAsia="Arial" w:hAnsi="Arial"/>
          <w:color w:val="6B7280"/>
          <w:sz w:val="18"/>
          <w:szCs w:val="18"/>
        </w:rPr>
        <w:t xml:space="preserve">Ops Team · Ahamove · Q2 2026</w:t>
      </w:r>
      <w:r>
        <w:rPr>
          <w:rFonts w:ascii="Arial" w:cs="Arial" w:eastAsia="Arial" w:hAnsi="Arial"/>
          <w:color w:val="00B4A6"/>
          <w:sz w:val="18"/>
          <w:szCs w:val="18"/>
        </w:rPr>
        <w:t xml:space="preserve">   ·   </w:t>
      </w:r>
      <w:r>
        <w:rPr>
          <w:rFonts w:ascii="Arial" w:cs="Arial" w:eastAsia="Arial" w:hAnsi="Arial"/>
          <w:color w:val="6B7280"/>
          <w:sz w:val="18"/>
          <w:szCs w:val="18"/>
        </w:rPr>
        <w:t xml:space="preserve">Liên hệ: ops-team@ahamove.com</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BF0" w:sz="4" w:space="4"/>
      </w:pBdr>
      <w:tabs>
        <w:tab w:val="right" w:pos="9026"/>
      </w:tabs>
      <w:spacing w:before="80" w:after="0"/>
    </w:pPr>
    <w:r>
      <w:rPr>
        <w:rFonts w:ascii="Arial" w:cs="Arial" w:eastAsia="Arial" w:hAnsi="Arial"/>
        <w:color w:val="6B7280"/>
        <w:sz w:val="16"/>
        <w:szCs w:val="16"/>
      </w:rPr>
      <w:t xml:space="preserve">Ops Team · Squad: Drivers · Priority: High · OKR: Retention</w:t>
    </w:r>
    <w:r>
      <w:rPr>
        <w:rFonts w:ascii="Arial" w:cs="Arial" w:eastAsia="Arial" w:hAnsi="Arial"/>
        <w:sz w:val="16"/>
        <w:szCs w:val="16"/>
      </w:rPr>
      <w:t xml:space="preserve">	</w:t>
    </w:r>
    <w:r>
      <w:rPr>
        <w:rFonts w:ascii="Arial" w:cs="Arial" w:eastAsia="Arial" w:hAnsi="Arial"/>
        <w:color w:val="6B7280"/>
        <w:sz w:val="16"/>
        <w:szCs w:val="16"/>
      </w:rPr>
      <w:t xml:space="preserve">Trang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A6" w:sz="6" w:space="6"/>
      </w:pBdr>
      <w:tabs>
        <w:tab w:val="right" w:pos="9026"/>
      </w:tabs>
      <w:spacing w:before="0" w:after="100"/>
    </w:pPr>
    <w:r>
      <w:rPr>
        <w:rFonts w:ascii="Arial" w:cs="Arial" w:eastAsia="Arial" w:hAnsi="Arial"/>
        <w:b/>
        <w:bCs/>
        <w:color w:val="0D1B3E"/>
        <w:sz w:val="18"/>
        <w:szCs w:val="18"/>
      </w:rPr>
      <w:t xml:space="preserve">Ahamove · PRD — Fulltime Driver Pool</w:t>
    </w:r>
    <w:r>
      <w:rPr>
        <w:rFonts w:ascii="Arial" w:cs="Arial" w:eastAsia="Arial" w:hAnsi="Arial"/>
        <w:sz w:val="18"/>
        <w:szCs w:val="18"/>
      </w:rPr>
      <w:t xml:space="preserve">	</w:t>
    </w:r>
    <w:r>
      <w:rPr>
        <w:rFonts w:ascii="Arial" w:cs="Arial" w:eastAsia="Arial" w:hAnsi="Arial"/>
        <w:color w:val="6B7280"/>
        <w:sz w:val="18"/>
        <w:szCs w:val="18"/>
      </w:rPr>
      <w:t xml:space="preserve">Q2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600" w:hanging="30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before="20" w:after="20"/>
        <w:ind w:left="900" w:hanging="300"/>
      </w:pPr>
      <w:rPr>
        <w:rFonts w:ascii="Arial" w:cs="Arial" w:eastAsia="Arial" w:hAnsi="Arial"/>
        <w:color w:val="6B7280"/>
        <w:sz w:val="20"/>
        <w:szCs w:val="20"/>
      </w:rPr>
    </w:lvl>
  </w:abstractNum>
  <w:abstractNum w:abstractNumId="4" w15:restartNumberingAfterBreak="0">
    <w:multiLevelType w:val="hybridMultilevel"/>
    <w:lvl w:ilvl="0" w15:tentative="1">
      <w:start w:val="1"/>
      <w:numFmt w:val="decimal"/>
      <w:lvlText w:val="%1."/>
      <w:lvlJc w:val="left"/>
      <w:pPr>
        <w:spacing w:before="40" w:after="40"/>
        <w:ind w:left="600" w:hanging="30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0D1B3E"/>
      <w:sz w:val="36"/>
      <w:szCs w:val="36"/>
    </w:rPr>
  </w:style>
  <w:style w:type="paragraph" w:styleId="Heading2">
    <w:name w:val="Heading 2"/>
    <w:basedOn w:val="Normal"/>
    <w:next w:val="Normal"/>
    <w:qFormat/>
    <w:pPr>
      <w:spacing w:before="240" w:after="80"/>
      <w:outlineLvl w:val="1"/>
    </w:pPr>
    <w:rPr>
      <w:rFonts w:ascii="Arial" w:cs="Arial" w:eastAsia="Arial" w:hAnsi="Arial"/>
      <w:b/>
      <w:bCs/>
      <w:color w:val="1A2B4A"/>
      <w:sz w:val="28"/>
      <w:szCs w:val="28"/>
    </w:rPr>
  </w:style>
  <w:style w:type="paragraph" w:styleId="Heading3">
    <w:name w:val="Heading 3"/>
    <w:basedOn w:val="Normal"/>
    <w:next w:val="Normal"/>
    <w:qFormat/>
    <w:pPr>
      <w:spacing w:before="180" w:after="60"/>
      <w:outlineLvl w:val="2"/>
    </w:pPr>
    <w:rPr>
      <w:rFonts w:ascii="Arial" w:cs="Arial" w:eastAsia="Arial" w:hAnsi="Arial"/>
      <w:b/>
      <w:bCs/>
      <w:color w:val="00B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2026-03-22T08:48:53.896Z</dcterms:created>
  <dcterms:modified xsi:type="dcterms:W3CDTF">2026-03-22T08:48:53.897Z</dcterms:modified>
</cp:coreProperties>
</file>

<file path=docProps/custom.xml><?xml version="1.0" encoding="utf-8"?>
<Properties xmlns="http://schemas.openxmlformats.org/officeDocument/2006/custom-properties" xmlns:vt="http://schemas.openxmlformats.org/officeDocument/2006/docPropsVTypes"/>
</file>