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Rule="auto"/>
        <w:ind w:left="2265" w:right="2265"/>
        <w:jc w:val="center"/>
      </w:pPr>
      <w:r>
        <w:rPr/>
        <w:t xml:space="preserve">Zheng Tian </w:t>
      </w:r>
      <w:r>
        <w:rPr/>
      </w:r>
      <m:oMath>
        <m:sSup>
          <m:sSupPr/>
          <m:e>
            <m:r>
              <m:t xml:space="preserve"> </m:t>
            </m:r>
          </m:e>
          <m:sup>
            <m:r>
              <m:rPr>
                <m:sty m:val="b"/>
              </m:rPr>
              <m:t>1</m:t>
            </m:r>
            <m:r>
              <m:rPr>
                <m:sty m:val="p"/>
              </m:rPr>
              <m:t>,</m:t>
            </m:r>
            <m:r>
              <m:rPr>
                <m:sty m:val="b"/>
              </m:rPr>
              <m:t>2</m:t>
            </m:r>
          </m:sup>
        </m:sSup>
      </m:oMath>
      <w:r>
        <w:rPr/>
        <w:t xml:space="preserve">, Lisha Pan </w:t>
      </w:r>
      <w:r>
        <w:rPr/>
      </w:r>
      <m:oMath>
        <m:sSup>
          <m:sSupPr/>
          <m:e>
            <m:r>
              <m:t xml:space="preserve"> </m:t>
            </m:r>
          </m:e>
          <m:sup>
            <m:r>
              <m:rPr>
                <m:sty m:val="b"/>
              </m:rPr>
              <m:t>1</m:t>
            </m:r>
          </m:sup>
        </m:sSup>
      </m:oMath>
      <w:r>
        <w:rPr/>
        <w:t xml:space="preserve">, and Qing Pan </w:t>
      </w:r>
      <w:r>
        <w:rPr/>
      </w:r>
      <m:oMath>
        <m:sSup>
          <m:sSupPr/>
          <m:e>
            <m:r>
              <m:t xml:space="preserve"> </m:t>
            </m:r>
          </m:e>
          <m:sup>
            <m:r>
              <m:rPr>
                <m:sty m:val="b"/>
              </m:rPr>
              <m:t>1</m:t>
            </m:r>
          </m:sup>
        </m:sSup>
      </m:oMath>
    </w:p>
    <w:p>
      <w:pPr>
        <w:spacing w:line="271" w:before="240" w:after="271" w:lineRule="auto"/>
        <w:jc w:val="center"/>
      </w:pPr>
      <w:r>
        <w:rPr>
          <w:b/>
          <w:sz w:val="28"/>
        </w:rPr>
        <w:t xml:space="preserve">Abstract</w:t>
      </w:r>
    </w:p>
    <w:p>
      <w:pPr>
        <w:spacing w:after="220" w:lineRule="auto"/>
        <w:ind w:left="864" w:right="864" w:firstLine="220"/>
      </w:pPr>
      <w:r>
        <w:rPr>
          <w:sz w:val="20"/>
        </w:rPr>
        <w:t xml:space="preserve">Polypropylene grafted with maleic anhydride and styrene [PP-g-(MAH-co-St)] was prepared by melt grafting. Fourier transform-infrared spectroscopy showed that maleic anhydride in the form of cyclic anhydride was successfully grafted onto the main chains of polypropylene. PP-g-(MAH-co-St) acts as a compatibilizer for the poly(propylene carbonate)/ polypropylene meltblown nonwoven fabric slices. The effect of different contents and grafting proportions of PP-g-(MAH-co-St) on the structure and performance of the poly(propylene carbonate)/polypropylene slices was investigated. The poly(propylene carbonate)/polypropylene slices had favorable compatibility, tensile properties, thermal stability, and degradability, and their melt flow rates were reduced by the addition of PP-g-(MAH-co-St). Fourier transforminfrared spectroscopy and 'H nuclear magnetic resonance spectroscopy spectra showed that ring-opening reactions occur between the anhydride functional groups of PP-g-(MAH-co-St) and poly(propylene carbonate). Ring-opening reactions, chemical bonds, cocrystallization, increased interface adhesion forces, and reduced interfacial tension may be the mechanisms by which PP-g-(MAH-co-St) acts a compatibilizer for poly(propylene carbonate)/polypropylene slices.</w:t>
      </w:r>
    </w:p>
    <w:p>
      <w:pPr>
        <w:spacing w:after="220" w:lineRule="auto"/>
      </w:pPr>
      <w:r>
        <w:rPr/>
        <w:t xml:space="preserve">Keywords</w:t>
      </w:r>
      <w:r>
        <w:rPr/>
        <w:br w:type="textWrapping"/>
      </w:r>
      <w:r>
        <w:rPr/>
        <w:t xml:space="preserve">Polypropylene graft, poly(propylene carbonate), polypropylene, biodegradable, compatibilizer</w:t>
      </w:r>
    </w:p>
    <w:p>
      <w:pPr>
        <w:spacing w:after="220" w:lineRule="auto"/>
      </w:pPr>
      <w:r>
        <w:rPr/>
        <w:t xml:space="preserve">Date received: 21 August 2017; accepted: 17 April 2019</w:t>
      </w:r>
    </w:p>
    <w:p>
      <w:pPr>
        <w:spacing w:line="271" w:before="330" w:lineRule="auto"/>
      </w:pPr>
      <w:bookmarkStart w:id="0" w:name="introduction"/>
      <w:r>
        <w:rPr>
          <w:b/>
          <w:sz w:val="42"/>
        </w:rPr>
        <w:t xml:space="preserve">Introduction</w:t>
      </w:r>
      <w:bookmarkEnd w:id="0"/>
    </w:p>
    <w:p>
      <w:pPr>
        <w:spacing w:after="220" w:lineRule="auto"/>
      </w:pPr>
      <w:r>
        <w:rPr/>
        <w:t xml:space="preserve">Polypropylene (PP), one of the most versatile polymers currently available, is widely used in many fields, such as in automobiles, electronics, packaging, building materials, and fibers, because of its low cost, high thermal stability, stable chemical properties, and water insolubility. </w:t>
      </w:r>
      <m:oMath>
        <m:sSup>
          <m:sSupPr/>
          <m:e>
            <m:r>
              <m:t xml:space="preserve"> </m:t>
            </m:r>
          </m:e>
          <m:sup>
            <m:r>
              <m:rPr>
                <m:sty m:val="p"/>
              </m:rPr>
              <m:t>1</m:t>
            </m:r>
          </m:sup>
        </m:sSup>
      </m:oMath>
      <w:r>
        <w:rPr/>
        <w:t xml:space="preserve"> Raw components used for nonwoven materials are composed of about 62% PP fiber. Because PP is not biodegradable, it is not environment friendly. Furthermore, PP is a kind of nonpolar polymer, and it is low compatibility with other polar materials. The most widely used modification method for PP is grafting of polar monomers onto the main chains of PP in the presence of a radical initiator by melt grafting. Several studies have grafted PP with maleic anhydride (MAH). </w:t>
      </w:r>
      <m:oMath>
        <m:sSup>
          <m:sSupPr/>
          <m:e>
            <m:r>
              <m:t xml:space="preserve"> </m:t>
            </m:r>
          </m:e>
          <m:sup>
            <m:r>
              <m:rPr>
                <m:sty m:val="p"/>
              </m:rPr>
              <m:t>2</m:t>
            </m:r>
            <m:r>
              <m:rPr>
                <m:sty m:val="p"/>
              </m:rPr>
              <m:t>,</m:t>
            </m:r>
            <m:r>
              <m:rPr>
                <m:sty m:val="p"/>
              </m:rPr>
              <m:t>3</m:t>
            </m:r>
          </m:sup>
        </m:sSup>
      </m:oMath>
      <w:r>
        <w:rPr/>
        <w:t xml:space="preserve"> Chain scission can be prevented and the grafting proportion of MAH on polyolefin can be increased when styrene (St) is used as a comonomer in the</w:t>
      </w:r>
    </w:p>
    <w:p>
      <w:pPr>
        <w:spacing w:lineRule="auto"/>
      </w:pPr>
      <w:r>
        <w:rPr/>
        <w:t xml:space="preserve">melt grafting process. </w:t>
      </w:r>
      <m:oMath>
        <m:sSup>
          <m:sSupPr/>
          <m:e>
            <m:r>
              <m:t xml:space="preserve"> </m:t>
            </m:r>
          </m:e>
          <m:sup>
            <m:r>
              <m:rPr>
                <m:sty m:val="p"/>
              </m:rPr>
              <m:t>4</m:t>
            </m:r>
            <m:r>
              <m:rPr>
                <m:sty m:val="p"/>
              </m:rPr>
              <m:t>,</m:t>
            </m:r>
            <m:r>
              <m:rPr>
                <m:sty m:val="p"/>
              </m:rPr>
              <m:t>5</m:t>
            </m:r>
          </m:sup>
        </m:sSup>
      </m:oMath>
      <w:r>
        <w:rPr/>
        <w:t xml:space="preserve"> PP grafted with MAH and St [PP- </w:t>
      </w:r>
      <m:oMath>
        <m:r>
          <m:rPr>
            <m:sty m:val="i"/>
          </m:rPr>
          <m:t>g</m:t>
        </m:r>
      </m:oMath>
      <w:r>
        <w:rPr/>
        <w:t xml:space="preserve">-(MAH-co-St)] has been comprehensively studied, especially as a compatibilizer for PPs and other polar materials. </w:t>
      </w:r>
      <m:oMath>
        <m:sSup>
          <m:sSupPr/>
          <m:e>
            <m:r>
              <m:t xml:space="preserve"> </m:t>
            </m:r>
          </m:e>
          <m:sup>
            <m:r>
              <m:rPr>
                <m:sty m:val="p"/>
              </m:rPr>
              <m:t>6</m:t>
            </m:r>
            <m:r>
              <m:rPr>
                <m:sty m:val="p"/>
              </m:rPr>
              <m:t>,</m:t>
            </m:r>
            <m:r>
              <m:rPr>
                <m:sty m:val="p"/>
              </m:rPr>
              <m:t>7</m:t>
            </m:r>
          </m:sup>
        </m:sSup>
      </m:oMath>
    </w:p>
    <w:p>
      <w:pPr>
        <w:spacing w:after="220" w:lineRule="auto"/>
      </w:pPr>
      <w:r>
        <w:rPr/>
        <w:t xml:space="preserve">Poly(propylene carbonate) (PPC) is one of the most environment-friendly aliphatic polymers industrialized for production. </w:t>
      </w:r>
      <m:oMath>
        <m:sSup>
          <m:sSupPr/>
          <m:e>
            <m:r>
              <m:t xml:space="preserve"> </m:t>
            </m:r>
          </m:e>
          <m:sup>
            <m:r>
              <m:rPr>
                <m:sty m:val="p"/>
              </m:rPr>
              <m:t>8</m:t>
            </m:r>
            <m:r>
              <m:rPr>
                <m:sty m:val="p"/>
              </m:rPr>
              <m:t>−</m:t>
            </m:r>
            <m:r>
              <m:rPr>
                <m:sty m:val="p"/>
              </m:rPr>
              <m:t>10</m:t>
            </m:r>
          </m:sup>
        </m:sSup>
      </m:oMath>
      <w:r>
        <w:rPr/>
        <w:t xml:space="preserve"> It is used as a one-off packing material, one-off dishware, board material, and so on, because of its water insolubility, biodegradability, and flexibility. </w:t>
      </w:r>
      <m:oMath>
        <m:sSup>
          <m:sSupPr/>
          <m:e>
            <m:r>
              <m:t xml:space="preserve"> </m:t>
            </m:r>
          </m:e>
          <m:sup>
            <m:r>
              <m:rPr>
                <m:sty m:val="p"/>
              </m:rPr>
              <m:t>11</m:t>
            </m:r>
          </m:sup>
        </m:sSup>
      </m:oMath>
      <w:r>
        <w:rPr/>
        <w:t xml:space="preserve"> Composite materials with favorable properties can be obtained when PPC is blended with other polymers, such as poly (ethylene-co-vinyl alcohol), </w:t>
      </w:r>
      <m:oMath>
        <m:sSup>
          <m:sSupPr/>
          <m:e>
            <m:r>
              <m:t xml:space="preserve"> </m:t>
            </m:r>
          </m:e>
          <m:sup>
            <m:r>
              <m:rPr>
                <m:sty m:val="p"/>
              </m:rPr>
              <m:t>12</m:t>
            </m:r>
          </m:sup>
        </m:sSup>
      </m:oMath>
      <w:r>
        <w:rPr/>
        <w:t xml:space="preserve"> poly( </w:t>
      </w:r>
      <m:oMath>
        <m:r>
          <m:rPr>
            <m:sty m:val="i"/>
          </m:rPr>
          <m:t>β</m:t>
        </m:r>
      </m:oMath>
      <w:r>
        <w:rPr>
          <w:rFonts w:eastAsia="Georgia" w:cs="Georgia" w:ascii="Georgia" w:hAnsi="Georgia"/>
        </w:rPr>
        <w:t xml:space="preserve"> hydroxybutyrate-co-β-hydroxyvalerate), </w:t>
      </w:r>
      <m:oMath>
        <m:sSup>
          <m:sSupPr/>
          <m:e>
            <m:r>
              <m:t xml:space="preserve"> </m:t>
            </m:r>
          </m:e>
          <m:sup>
            <m:r>
              <m:rPr>
                <m:sty m:val="p"/>
              </m:rPr>
              <m:t>13</m:t>
            </m:r>
          </m:sup>
        </m:sSup>
      </m:oMath>
      <w:r>
        <w:rPr/>
        <w:t xml:space="preserve"> natural rubber elastomer, </w:t>
      </w:r>
      <m:oMath>
        <m:sSup>
          <m:sSupPr/>
          <m:e>
            <m:r>
              <m:t xml:space="preserve"> </m:t>
            </m:r>
          </m:e>
          <m:sup>
            <m:r>
              <m:rPr>
                <m:sty m:val="p"/>
              </m:rPr>
              <m:t>14</m:t>
            </m:r>
          </m:sup>
        </m:sSup>
      </m:oMath>
      <w:r>
        <w:rPr/>
        <w:t xml:space="preserve"> and poly(lactic acid) (PLA). </w:t>
      </w:r>
      <m:oMath>
        <m:sSup>
          <m:sSupPr/>
          <m:e>
            <m:r>
              <m:t xml:space="preserve"> </m:t>
            </m:r>
          </m:e>
          <m:sup>
            <m:r>
              <m:rPr>
                <m:sty m:val="p"/>
              </m:rPr>
              <m:t>15</m:t>
            </m:r>
          </m:sup>
        </m:sSup>
      </m:oMath>
    </w:p>
    <w:p>
      <w:pPr>
        <w:spacing w:after="220" w:lineRule="auto"/>
      </w:pPr>
      <w:r>
        <w:rPr/>
        <w:t xml:space="preserve">Recent studies have discussed the preparation of composite fiber materials with high spinnability, high strength, controllable conduction, heat conduction, antistatic, and biodegradation properties by blending PP with PLA. </w:t>
      </w:r>
      <m:oMath>
        <m:sSup>
          <m:sSupPr/>
          <m:e>
            <m:r>
              <m:t xml:space="preserve"> </m:t>
            </m:r>
          </m:e>
          <m:sup>
            <m:r>
              <m:rPr>
                <m:sty m:val="p"/>
              </m:rPr>
              <m:t>16</m:t>
            </m:r>
            <m:r>
              <m:rPr>
                <m:sty m:val="p"/>
              </m:rPr>
              <m:t>−</m:t>
            </m:r>
            <m:r>
              <m:rPr>
                <m:sty m:val="p"/>
              </m:rPr>
              <m:t>18</m:t>
            </m:r>
          </m:sup>
        </m:sSup>
      </m:oMath>
      <w:r>
        <w:rPr/>
        <w:t xml:space="preserve"> However, the preparation of biodegradable meltblown nonwoven materials by melt blending of PP with PPC is rarely reported.</w:t>
      </w:r>
    </w:p>
    <w:p>
      <w:pPr>
        <w:spacing w:after="220" w:lineRule="auto"/>
      </w:pPr>
      <w:r>
        <w:rPr/>
        <w:t xml:space="preserve">Meltblown nonwoven materials are used widely in health and industrial applications. </w:t>
      </w:r>
      <m:oMath>
        <m:sSup>
          <m:sSupPr/>
          <m:e>
            <m:r>
              <m:t xml:space="preserve"> </m:t>
            </m:r>
          </m:e>
          <m:sup>
            <m:r>
              <m:rPr>
                <m:sty m:val="p"/>
              </m:rPr>
              <m:t>19</m:t>
            </m:r>
          </m:sup>
        </m:sSup>
      </m:oMath>
      <w:r>
        <w:rPr/>
        <w:t xml:space="preserve"> The development of biodegradable meltblown nonwoven materials is very important because many nonwoven materials are nonbiodegradable. The compatibility between PPC and PP is poor because of the different polarities of the polymers. This study prepared biodegradable PPC/PP meltblown nonwoven fabric slices by melt blending and varying the raw material rates to produce PP- </w:t>
      </w:r>
      <m:oMath>
        <m:r>
          <m:rPr>
            <m:sty m:val="i"/>
          </m:rPr>
          <m:t>g</m:t>
        </m:r>
      </m:oMath>
      <w:r>
        <w:rPr/>
        <w:t xml:space="preserve">-(MAH-co-St) with different grafting proportions as a compatibilizer for PPC/PP slices. The effect of the contents and grafting proportions of PP- </w:t>
      </w:r>
      <m:oMath>
        <m:r>
          <m:rPr>
            <m:sty m:val="i"/>
          </m:rPr>
          <m:t>g</m:t>
        </m:r>
      </m:oMath>
      <w:r>
        <w:rPr/>
        <w:t xml:space="preserve">-(MAH-co-St) on the compatibility, tensile, melt flow rate (MFR), thermal, and degradation properties of PPC/PP meltblown nonwoven fabric slices was also investigated.</w:t>
      </w:r>
    </w:p>
    <w:p>
      <w:pPr>
        <w:spacing w:line="271" w:before="330" w:lineRule="auto"/>
      </w:pPr>
      <w:bookmarkStart w:id="1" w:name="experimental"/>
      <w:r>
        <w:rPr>
          <w:b/>
          <w:sz w:val="42"/>
        </w:rPr>
        <w:t xml:space="preserve">Experimental</w:t>
      </w:r>
      <w:bookmarkEnd w:id="1"/>
    </w:p>
    <w:p>
      <w:pPr>
        <w:spacing w:line="271" w:before="330" w:lineRule="auto"/>
      </w:pPr>
      <w:bookmarkStart w:id="2" w:name="materials"/>
      <w:r>
        <w:rPr>
          <w:b/>
          <w:sz w:val="42"/>
        </w:rPr>
        <w:t xml:space="preserve">Materials</w:t>
      </w:r>
      <w:bookmarkEnd w:id="2"/>
    </w:p>
    <w:p>
      <w:pPr>
        <w:spacing w:after="220" w:lineRule="auto"/>
      </w:pPr>
      <w:r>
        <w:rPr/>
        <w:t xml:space="preserve">Two kinds of PP were used in this study. Granular PP </w:t>
      </w:r>
      <m:oMath>
        <m:d>
          <m:dPr>
            <m:begChr m:val="("/>
            <m:endChr m:val=")"/>
            <m:ctrlPr>
              <w:rPr>
                <w:rFonts w:ascii="Cambria Math" w:hAnsi="Cambria Math"/>
              </w:rPr>
            </m:ctrlPr>
          </m:dPr>
          <m:e>
            <m:r>
              <m:rPr>
                <m:sty m:val="p"/>
              </m:rPr>
              <m:t>MFR</m:t>
            </m:r>
            <m:r>
              <m:rPr>
                <m:sty m:val="p"/>
              </m:rPr>
              <m:t>=</m:t>
            </m:r>
            <m:r>
              <m:rPr>
                <m:sty m:val="p"/>
              </m:rPr>
              <m:t>4</m:t>
            </m:r>
            <m:r>
              <m:rPr>
                <m:nor/>
              </m:rPr>
              <m:t xml:space="preserve"> </m:t>
            </m:r>
            <m:r>
              <m:rPr>
                <m:sty m:val="p"/>
              </m:rPr>
              <m:t>g</m:t>
            </m:r>
            <m:r>
              <m:rPr>
                <m:sty m:val="p"/>
              </m:rPr>
              <m:t>/</m:t>
            </m:r>
            <m:r>
              <m:rPr>
                <m:sty m:val="p"/>
              </m:rPr>
              <m:t>10</m:t>
            </m:r>
            <m:r>
              <m:rPr>
                <m:nor/>
              </m:rPr>
              <m:t xml:space="preserve"> </m:t>
            </m:r>
            <m:r>
              <m:rPr>
                <m:sty m:val="p"/>
              </m:rPr>
              <m:t>min</m:t>
            </m:r>
            <m:r>
              <m:rPr>
                <m:sty m:val="p"/>
              </m:rPr>
              <m:t>,</m:t>
            </m:r>
            <m:sSup>
              <m:sSupPr/>
              <m:e>
                <m:r>
                  <m:rPr>
                    <m:sty m:val="p"/>
                  </m:rPr>
                  <m:t>230</m:t>
                </m:r>
              </m:e>
              <m:sup>
                <m:r>
                  <m:rPr>
                    <m:sty m:val="p"/>
                  </m:rPr>
                  <m:t>∘</m:t>
                </m:r>
              </m:sup>
            </m:sSup>
            <m:r>
              <m:rPr>
                <m:sty m:val="p"/>
              </m:rPr>
              <m:t>C</m:t>
            </m:r>
            <m:r>
              <m:rPr>
                <m:sty m:val="p"/>
              </m:rPr>
              <m:t>/</m:t>
            </m:r>
            <m:r>
              <m:rPr>
                <m:sty m:val="p"/>
              </m:rPr>
              <m:t>2160</m:t>
            </m:r>
            <m:r>
              <m:rPr>
                <m:nor/>
              </m:rPr>
              <m:t xml:space="preserve"> </m:t>
            </m:r>
            <m:r>
              <m:rPr>
                <m:sty m:val="p"/>
              </m:rPr>
              <m:t>g</m:t>
            </m:r>
          </m:e>
        </m:d>
      </m:oMath>
      <w:r>
        <w:rPr/>
        <w:t xml:space="preserve"> used for the preparation of PP- </w:t>
      </w:r>
      <m:oMath>
        <m:r>
          <m:rPr>
            <m:sty m:val="i"/>
          </m:rPr>
          <m:t>g</m:t>
        </m:r>
      </m:oMath>
      <w:r>
        <w:rPr/>
        <w:t xml:space="preserve">-(MAH-co-St) was provided by Sinopec Yangzi Petrochemical Company Ltd (Nanjing, Jiangsu, China). PP with lower viscosity </w:t>
      </w:r>
      <m:oMath>
        <m:r>
          <m:rPr>
            <m:sty m:val="p"/>
          </m:rPr>
          <m:t>(</m:t>
        </m:r>
        <m:r>
          <m:rPr>
            <m:sty m:val="p"/>
          </m:rPr>
          <m:t>MFR</m:t>
        </m:r>
        <m:r>
          <m:rPr>
            <m:sty m:val="p"/>
          </m:rPr>
          <m:t>=</m:t>
        </m:r>
        <m:r>
          <m:rPr>
            <m:sty m:val="p"/>
          </m:rPr>
          <m:t>1243</m:t>
        </m:r>
        <m:r>
          <m:rPr>
            <m:nor/>
          </m:rPr>
          <m:t xml:space="preserve"> </m:t>
        </m:r>
        <m:r>
          <m:rPr>
            <m:sty m:val="p"/>
          </m:rPr>
          <m:t>g</m:t>
        </m:r>
        <m:r>
          <m:rPr>
            <m:sty m:val="p"/>
          </m:rPr>
          <m:t>/</m:t>
        </m:r>
        <m:r>
          <m:rPr>
            <m:sty m:val="p"/>
          </m:rPr>
          <m:t>10</m:t>
        </m:r>
      </m:oMath>
      <w:r>
        <w:rPr/>
        <w:t xml:space="preserve"> </w:t>
      </w:r>
      <m:oMath>
        <m:r>
          <m:rPr>
            <m:sty m:val="p"/>
          </m:rPr>
          <m:t>min</m:t>
        </m:r>
        <m:r>
          <m:rPr>
            <m:sty m:val="p"/>
          </m:rPr>
          <m:t>,</m:t>
        </m:r>
        <m:sSup>
          <m:sSupPr/>
          <m:e>
            <m:r>
              <m:rPr>
                <m:sty m:val="p"/>
              </m:rPr>
              <m:t>230</m:t>
            </m:r>
          </m:e>
          <m:sup>
            <m:r>
              <m:rPr>
                <m:sty m:val="p"/>
              </m:rPr>
              <m:t>∘</m:t>
            </m:r>
          </m:sup>
        </m:sSup>
        <m:r>
          <m:rPr>
            <m:sty m:val="p"/>
          </m:rPr>
          <m:t>C</m:t>
        </m:r>
        <m:r>
          <m:rPr>
            <m:sty m:val="p"/>
          </m:rPr>
          <m:t>/</m:t>
        </m:r>
        <m:r>
          <m:rPr>
            <m:sty m:val="p"/>
          </m:rPr>
          <m:t>2160</m:t>
        </m:r>
        <m:r>
          <m:rPr>
            <m:nor/>
          </m:rPr>
          <m:t xml:space="preserve"> </m:t>
        </m:r>
        <m:r>
          <m:rPr>
            <m:sty m:val="p"/>
          </m:rPr>
          <m:t>g</m:t>
        </m:r>
      </m:oMath>
      <w:r>
        <w:rPr/>
        <w:t xml:space="preserve"> ) used for the preparation of PPC/PP slices was provided by Hainan Xinlong Nonwoven Company Ltd., China. PPC </w:t>
      </w:r>
      <m:oMath>
        <m:d>
          <m:dPr>
            <m:begChr m:val="("/>
            <m:endChr m:val=")"/>
            <m:ctrlPr>
              <w:rPr>
                <w:rFonts w:ascii="Cambria Math" w:hAnsi="Cambria Math"/>
              </w:rPr>
            </m:ctrlPr>
          </m:dPr>
          <m:e>
            <m:sSub>
              <m:sSubPr/>
              <m:e>
                <m:r>
                  <m:rPr>
                    <m:sty m:val="i"/>
                  </m:rPr>
                  <m:t>M</m:t>
                </m:r>
              </m:e>
              <m:sub>
                <m:r>
                  <m:rPr>
                    <m:sty m:val="p"/>
                  </m:rPr>
                  <m:t>w</m:t>
                </m:r>
              </m:sub>
            </m:sSub>
            <m:r>
              <m:rPr>
                <m:sty m:val="p"/>
              </m:rPr>
              <m:t>=</m:t>
            </m:r>
            <m:r>
              <m:rPr>
                <m:sty m:val="p"/>
              </m:rPr>
              <m:t>1.31</m:t>
            </m:r>
            <m:r>
              <m:rPr>
                <m:sty m:val="p"/>
              </m:rPr>
              <m:t>×</m:t>
            </m:r>
            <m:sSup>
              <m:sSupPr/>
              <m:e>
                <m:r>
                  <m:rPr>
                    <m:sty m:val="p"/>
                  </m:rPr>
                  <m:t>10</m:t>
                </m:r>
              </m:e>
              <m:sup>
                <m:r>
                  <m:rPr>
                    <m:sty m:val="p"/>
                  </m:rPr>
                  <m:t>5</m:t>
                </m:r>
              </m:sup>
            </m:sSup>
          </m:e>
        </m:d>
      </m:oMath>
      <w:r>
        <w:rPr/>
        <w:t xml:space="preserve"> was provided by Inner Mongolia Mengxi High-New Material Company Ltd., China. MAH was purchased from Shanghai Crystal Pure Company Ltd., China. St, dicumyl peroxide (DCP), dimethyl benzene, acetone, sodium hydroxide, alcohol, acetic acid, and phenolphthalein were purchased from Tianjin Fuchen Chemical Reagents Factory, China.</w:t>
      </w:r>
    </w:p>
    <w:p>
      <w:pPr>
        <w:spacing w:line="271" w:before="330" w:lineRule="auto"/>
      </w:pPr>
      <w:bookmarkStart w:id="3" w:name="preparation_of_compatibilizers"/>
      <w:r>
        <w:rPr>
          <w:b/>
          <w:sz w:val="42"/>
        </w:rPr>
        <w:t xml:space="preserve">Preparation of compatibilizers</w:t>
      </w:r>
      <w:bookmarkEnd w:id="3"/>
    </w:p>
    <w:p>
      <w:pPr>
        <w:spacing w:after="220" w:lineRule="auto"/>
      </w:pPr>
      <w:r>
        <w:rPr>
          <w:rFonts w:eastAsia="Georgia" w:cs="Georgia" w:ascii="Georgia" w:hAnsi="Georgia"/>
        </w:rPr>
        <w:t xml:space="preserve">Preparation of compatibilizers was carried out in an XS-60 blending machine (Shanghai Kechuang Rubber and Plastic Mechanical Equipment Company Ltd., China) with a blending rate of 40 r/min at 180°C for 3 min. Granular PP was mixed with MAH as a polar monomer, St as a comonomer, and DCP as an initiator in a sealed plastic bag. The mixture was then placed into the blending machine for immediate compounding. The code PP- </w:t>
      </w:r>
      <m:oMath>
        <m:r>
          <m:rPr>
            <m:sty m:val="i"/>
          </m:rPr>
          <m:t>g</m:t>
        </m:r>
      </m:oMath>
      <w:r>
        <w:rPr/>
        <w:t xml:space="preserve">-(MAH-co-St) (100/6/6/0.4) represents the compatibilizer prepared from a mixture of 100.0 g of PP, 6.0 g of MAH, 6.0 g of St, and 0.4 g of DCP.</w:t>
      </w:r>
    </w:p>
    <w:p>
      <w:pPr>
        <w:spacing w:after="220" w:lineRule="auto"/>
      </w:pPr>
      <w:r>
        <w:rPr/>
        <w:t xml:space="preserve">After melt grafting, PP- </w:t>
      </w:r>
      <m:oMath>
        <m:r>
          <m:rPr>
            <m:sty m:val="i"/>
          </m:rPr>
          <m:t>g</m:t>
        </m:r>
      </m:oMath>
      <w:r>
        <w:rPr/>
        <w:t xml:space="preserve">-(MAH-co-St) was dissolved in dimethyl benzene by heat refluxing and precipitated in acetone to remove the unreacted MAH and St and polystyrene and poly(styrene-co-maleic anhydride) (SMA) that had formed during melt grafting.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rFonts w:eastAsia="Georgia" w:cs="Georgia" w:ascii="Georgia" w:hAnsi="Georgia"/>
        </w:rPr>
        <w:t xml:space="preserve"> precipitates were then filtered and dried at 50°C in a vacuum oven for 6 h.</w:t>
      </w:r>
    </w:p>
    <w:p>
      <w:pPr>
        <w:spacing w:line="271" w:before="330" w:lineRule="auto"/>
      </w:pPr>
      <w:bookmarkStart w:id="4" w:name="preparation_of_ppc_pp_slices"/>
      <w:r>
        <w:rPr>
          <w:b/>
          <w:sz w:val="42"/>
        </w:rPr>
        <w:t xml:space="preserve">Preparation of PPC/PP slices</w:t>
      </w:r>
      <w:bookmarkEnd w:id="4"/>
    </w:p>
    <w:p>
      <w:pPr>
        <w:spacing w:after="220" w:lineRule="auto"/>
      </w:pPr>
      <w:r>
        <w:rPr/>
        <w:t xml:space="preserve">Prior to blending, PPC, PP, and PP- </w:t>
      </w:r>
      <m:oMath>
        <m:r>
          <m:rPr>
            <m:sty m:val="i"/>
          </m:rPr>
          <m:t>g</m:t>
        </m:r>
      </m:oMath>
      <w:r>
        <w:rPr>
          <w:rFonts w:eastAsia="Georgia" w:cs="Georgia" w:ascii="Georgia" w:hAnsi="Georgia"/>
        </w:rPr>
        <w:t xml:space="preserve">-(MAH-co-St) were dried in a vacuum oven at 50°C for more than 12 h until constant weights were achieved. PPC and PP at a ratio of 80/20 (w/w) and predetermined amounts of PP- </w:t>
      </w:r>
      <m:oMath>
        <m:r>
          <m:rPr>
            <m:sty m:val="i"/>
          </m:rPr>
          <m:t>g</m:t>
        </m:r>
      </m:oMath>
      <w:r>
        <w:rPr>
          <w:rFonts w:eastAsia="Georgia" w:cs="Georgia" w:ascii="Georgia" w:hAnsi="Georgia"/>
        </w:rPr>
        <w:t xml:space="preserve">-(MAHco-St) were mixed well using an XS-60 blending machine (mixer: LH60, shape of the rotor: roller, chamber capacity: 60 mL , highest heating temperature: 350°C, maximum working torque: 80 N m, and pressure of pressing block to material: </w:t>
      </w:r>
      <m:oMath>
        <m:r>
          <m:rPr>
            <m:sty m:val="p"/>
          </m:rPr>
          <m:t>6.44</m:t>
        </m:r>
        <m:r>
          <m:rPr>
            <m:sty m:val="p"/>
          </m:rPr>
          <m:t>×</m:t>
        </m:r>
        <m:sSup>
          <m:sSupPr/>
          <m:e>
            <m:r>
              <m:rPr>
                <m:sty m:val="p"/>
              </m:rPr>
              <m:t>10</m:t>
            </m:r>
          </m:e>
          <m:sup>
            <m:r>
              <m:rPr>
                <m:sty m:val="p"/>
              </m:rPr>
              <m:t>4</m:t>
            </m:r>
          </m:sup>
        </m:sSup>
        <m:r>
          <m:rPr>
            <m:nor/>
          </m:rPr>
          <m:t xml:space="preserve"> </m:t>
        </m:r>
        <m:r>
          <m:rPr>
            <m:sty m:val="p"/>
          </m:rPr>
          <m:t>Pa</m:t>
        </m:r>
      </m:oMath>
      <w:r>
        <w:rPr/>
        <w:t xml:space="preserve"> ) with a blending rate of 35 r/min at </w:t>
      </w:r>
      <m:oMath>
        <m:sSup>
          <m:sSupPr/>
          <m:e>
            <m:r>
              <m:rPr>
                <m:sty m:val="p"/>
              </m:rPr>
              <m:t>175</m:t>
            </m:r>
          </m:e>
          <m:sup>
            <m:r>
              <m:rPr>
                <m:sty m:val="p"/>
              </m:rPr>
              <m:t>∘</m:t>
            </m:r>
          </m:sup>
        </m:sSup>
        <m:r>
          <m:rPr>
            <m:sty m:val="p"/>
          </m:rPr>
          <m:t>C</m:t>
        </m:r>
      </m:oMath>
      <w:r>
        <w:rPr>
          <w:rFonts w:eastAsia="Georgia" w:cs="Georgia" w:ascii="Georgia" w:hAnsi="Georgia"/>
        </w:rPr>
        <w:t xml:space="preserve"> for 5 min . The blends were then shaped by an LSJ20 extruder (Shanghai Kechuang Rubber and Plastic Mechanical Equipment Company Ltd., screw diameter: 20 mm, screw ratio(L/D): 25, highest heating temperature: 350°C, and maximum working torque: 120 N m) with a blending rate of 25 r/min at 100, 170, 175, and </w:t>
      </w:r>
      <m:oMath>
        <m:sSup>
          <m:sSupPr/>
          <m:e>
            <m:r>
              <m:rPr>
                <m:sty m:val="p"/>
              </m:rPr>
              <m:t>150</m:t>
            </m:r>
          </m:e>
          <m:sup>
            <m:r>
              <m:rPr>
                <m:sty m:val="p"/>
              </m:rPr>
              <m:t>∘</m:t>
            </m:r>
          </m:sup>
        </m:sSup>
        <m:r>
          <m:rPr>
            <m:sty m:val="p"/>
          </m:rPr>
          <m:t>C</m:t>
        </m:r>
      </m:oMath>
      <w:r>
        <w:rPr/>
        <w:t xml:space="preserve"> for zones 1, 2, 3, and 4, respectively, and a three-roller compressor machine (Shanghai Kechuang Rubber and Plastic Mechanical Equipment Company Ltd.) with a shear rate of 60 r/min. The code PPC/PP- </w:t>
      </w:r>
      <m:oMath>
        <m:r>
          <m:rPr>
            <m:sty m:val="i"/>
          </m:rPr>
          <m:t>g</m:t>
        </m:r>
      </m:oMath>
      <w:r>
        <w:rPr/>
        <w:t xml:space="preserve">-(MAH-co-St) </w:t>
      </w:r>
      <m:oMath>
        <m:d>
          <m:dPr>
            <m:begChr m:val="("/>
            <m:endChr m:val=""/>
            <m:ctrlPr>
              <w:rPr>
                <w:rFonts w:ascii="Cambria Math" w:hAnsi="Cambria Math"/>
              </w:rPr>
            </m:ctrlPr>
          </m:dPr>
          <m:e>
            <m:sSub>
              <m:sSubPr/>
              <m:e>
                <m:r>
                  <m:rPr>
                    <m:sty m:val="i"/>
                  </m:rPr>
                  <m:t>G</m:t>
                </m:r>
              </m:e>
              <m:sub>
                <m:r>
                  <m:rPr>
                    <m:nor/>
                  </m:rPr>
                  <m:t>MAH </m:t>
                </m:r>
              </m:sub>
            </m:sSub>
            <m:r>
              <m:rPr>
                <m:sty m:val="p"/>
              </m:rPr>
              <m:t>=</m:t>
            </m:r>
          </m:e>
        </m:d>
      </m:oMath>
      <w:r>
        <w:rPr/>
        <w:t xml:space="preserve"> 1.51%)/PP (80/2/20) represents a PP- </w:t>
      </w:r>
      <m:oMath>
        <m:r>
          <m:rPr>
            <m:sty m:val="i"/>
          </m:rPr>
          <m:t>g</m:t>
        </m:r>
      </m:oMath>
      <w:r>
        <w:rPr/>
        <w:t xml:space="preserve">-(MAH-co-St) grafting proportion of </w:t>
      </w:r>
      <m:oMath>
        <m:r>
          <m:rPr>
            <m:sty m:val="p"/>
          </m:rPr>
          <m:t>1.51</m:t>
        </m:r>
        <m:r>
          <m:rPr>
            <m:sty m:val="p"/>
          </m:rPr>
          <m:t>%</m:t>
        </m:r>
        <m:r>
          <m:rPr>
            <m:sty m:val="p"/>
          </m:rPr>
          <m:t>,</m:t>
        </m:r>
        <m:r>
          <m:rPr>
            <m:sty m:val="p"/>
          </m:rPr>
          <m:t>PP</m:t>
        </m:r>
        <m:r>
          <m:rPr>
            <m:sty m:val="p"/>
          </m:rPr>
          <m:t>−</m:t>
        </m:r>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content of 2% of the sum of the weights of PPC and PP, and PPC and PP weight ratio of 80/20 (w/w).</w:t>
      </w:r>
    </w:p>
    <w:p>
      <w:pPr>
        <w:spacing w:line="271" w:before="330" w:lineRule="auto"/>
      </w:pPr>
      <w:bookmarkStart w:id="5" w:name="analysis_of_the_properties_of_ppc_198437"/>
      <w:r>
        <w:rPr>
          <w:b/>
          <w:sz w:val="42"/>
        </w:rPr>
        <w:t xml:space="preserve">Analysis of the properties of PPC/PP slices</w:t>
      </w:r>
      <w:bookmarkEnd w:id="5"/>
    </w:p>
    <w:p>
      <w:pPr>
        <w:spacing w:after="220" w:lineRule="auto"/>
      </w:pPr>
      <w:r>
        <w:rPr>
          <w:rFonts w:eastAsia="Georgia" w:cs="Georgia" w:ascii="Georgia" w:hAnsi="Georgia"/>
        </w:rPr>
        <w:t xml:space="preserve">Grafting proportion measurement. The grafting proportion of MAH was determined by the back titration method. Briefly, 0.5 g of pure PP-g-(MAH-co-St) was dissolved in dimethyl benzene by heat refluxing at 120°C for 1 h. After the compound had dissolved completely, 20 mL of 0.05 mol/L sodium hydroxide/alcohol standard solution was added to the mixture by heat refluxing at 100°C for</w:t>
      </w:r>
    </w:p>
    <w:p>
      <w:pPr>
        <w:spacing w:after="220" w:lineRule="auto"/>
      </w:pPr>
      <w:r>
        <w:rPr/>
        <w:t xml:space="preserve">15 min. Two drops of phenolphthalein were subsequently added to the solution, and </w:t>
      </w:r>
      <m:oMath>
        <m:r>
          <m:rPr>
            <m:sty m:val="p"/>
          </m:rPr>
          <m:t>0.05</m:t>
        </m:r>
        <m:r>
          <m:rPr>
            <m:nor/>
          </m:rPr>
          <m:t xml:space="preserve"> </m:t>
        </m:r>
        <m:r>
          <m:rPr>
            <m:sty m:val="p"/>
          </m:rPr>
          <m:t>mol</m:t>
        </m:r>
        <m:r>
          <m:rPr>
            <m:sty m:val="p"/>
          </m:rPr>
          <m:t>/</m:t>
        </m:r>
        <m:r>
          <m:rPr>
            <m:sty m:val="p"/>
          </m:rPr>
          <m:t>L</m:t>
        </m:r>
      </m:oMath>
      <w:r>
        <w:rPr/>
        <w:t xml:space="preserve"> acetic acid/dimethyl benzene standard solution was used to titrate the mixture until it was colorless. The grafting proportion was calculated by equation (1)</w:t>
      </w:r>
    </w:p>
    <w:p>
      <w:pPr>
        <w:spacing w:after="220" w:lineRule="auto"/>
      </w:pPr>
      <m:oMathPara>
        <m:oMath>
          <m:eqArr>
            <m:eqArrPr>
              <m:maxDist m:val="1"/>
              <m:ctrlPr>
                <w:rPr>
                  <w:rFonts w:ascii="Cambria Math" w:hAnsi="Cambria Math"/>
                </w:rPr>
              </m:ctrlPr>
            </m:eqArrPr>
            <m:e>
              <m:sSub>
                <m:sSubPr/>
                <m:e>
                  <m:r>
                    <m:rPr>
                      <m:sty m:val="i"/>
                    </m:rPr>
                    <m:t>G</m:t>
                  </m:r>
                </m:e>
                <m:sub>
                  <m:r>
                    <m:rPr>
                      <m:sty m:val="p"/>
                    </m:rPr>
                    <m:t>MAH</m:t>
                  </m:r>
                </m:sub>
              </m:sSub>
              <m:r>
                <m:rPr>
                  <m:sty m:val="p"/>
                </m:rPr>
                <m:t>=</m:t>
              </m:r>
              <m:f>
                <m:fPr>
                  <m:ctrlPr>
                    <w:rPr>
                      <w:rFonts w:ascii="Cambria Math" w:hAnsi="Cambria Math"/>
                    </w:rPr>
                  </m:ctrlPr>
                </m:fPr>
                <m:num>
                  <m:r>
                    <m:rPr>
                      <m:sty m:val="p"/>
                    </m:rPr>
                    <m:t>98.06</m:t>
                  </m:r>
                  <m:r>
                    <m:rPr>
                      <m:sty m:val="p"/>
                    </m:rPr>
                    <m:t>×</m:t>
                  </m:r>
                  <m:d>
                    <m:dPr>
                      <m:begChr m:val="("/>
                      <m:endChr m:val=")"/>
                      <m:ctrlPr>
                        <w:rPr>
                          <w:rFonts w:ascii="Cambria Math" w:hAnsi="Cambria Math"/>
                        </w:rPr>
                      </m:ctrlPr>
                    </m:dPr>
                    <m:e>
                      <m:sSub>
                        <m:sSubPr/>
                        <m:e>
                          <m:r>
                            <m:rPr>
                              <m:sty m:val="i"/>
                            </m:rPr>
                            <m:t>c</m:t>
                          </m:r>
                        </m:e>
                        <m:sub>
                          <m:r>
                            <m:rPr>
                              <m:sty m:val="p"/>
                            </m:rPr>
                            <m:t>1</m:t>
                          </m:r>
                        </m:sub>
                      </m:sSub>
                      <m:r>
                        <m:rPr>
                          <m:sty m:val="p"/>
                        </m:rPr>
                        <m:t>×</m:t>
                      </m:r>
                      <m:sSub>
                        <m:sSubPr/>
                        <m:e>
                          <m:r>
                            <m:rPr>
                              <m:sty m:val="i"/>
                            </m:rPr>
                            <m:t>V</m:t>
                          </m:r>
                        </m:e>
                        <m:sub>
                          <m:r>
                            <m:rPr>
                              <m:sty m:val="p"/>
                            </m:rPr>
                            <m:t>1</m:t>
                          </m:r>
                        </m:sub>
                      </m:sSub>
                      <m:r>
                        <m:rPr>
                          <m:sty m:val="p"/>
                        </m:rPr>
                        <m:t>−</m:t>
                      </m:r>
                      <m:sSub>
                        <m:sSubPr/>
                        <m:e>
                          <m:r>
                            <m:rPr>
                              <m:sty m:val="i"/>
                            </m:rPr>
                            <m:t>c</m:t>
                          </m:r>
                        </m:e>
                        <m:sub>
                          <m:r>
                            <m:rPr>
                              <m:sty m:val="p"/>
                            </m:rPr>
                            <m:t>2</m:t>
                          </m:r>
                        </m:sub>
                      </m:sSub>
                      <m:r>
                        <m:rPr>
                          <m:sty m:val="p"/>
                        </m:rPr>
                        <m:t>×</m:t>
                      </m:r>
                      <m:sSub>
                        <m:sSubPr/>
                        <m:e>
                          <m:r>
                            <m:rPr>
                              <m:sty m:val="i"/>
                            </m:rPr>
                            <m:t>V</m:t>
                          </m:r>
                        </m:e>
                        <m:sub>
                          <m:r>
                            <m:rPr>
                              <m:sty m:val="p"/>
                            </m:rPr>
                            <m:t>2</m:t>
                          </m:r>
                        </m:sub>
                      </m:sSub>
                    </m:e>
                  </m:d>
                </m:num>
                <m:den>
                  <m:r>
                    <m:rPr>
                      <m:sty m:val="p"/>
                    </m:rPr>
                    <m:t>1000</m:t>
                  </m:r>
                  <m:r>
                    <m:rPr>
                      <m:sty m:val="p"/>
                    </m:rPr>
                    <m:t>×</m:t>
                  </m:r>
                  <m:r>
                    <m:rPr>
                      <m:sty m:val="p"/>
                    </m:rPr>
                    <m:t>2</m:t>
                  </m:r>
                  <m:r>
                    <m:rPr>
                      <m:sty m:val="i"/>
                    </m:rPr>
                    <m:t>m</m:t>
                  </m:r>
                </m:den>
              </m:f>
              <m:r>
                <m:rPr>
                  <m:sty m:val="p"/>
                </m:rPr>
                <m:t>×</m:t>
              </m:r>
              <m:r>
                <m:rPr>
                  <m:sty m:val="p"/>
                </m:rPr>
                <m:t>100</m:t>
              </m:r>
              <m:r>
                <m:rPr>
                  <m:sty m:val="p"/>
                </m:rPr>
                <m:t>%</m:t>
              </m:r>
              <m:r>
                <m:t>#(1)</m:t>
              </m:r>
            </m:e>
          </m:eqArr>
        </m:oMath>
      </m:oMathPara>
    </w:p>
    <w:p>
      <w:pPr>
        <w:spacing w:after="220" w:lineRule="auto"/>
      </w:pPr>
      <w:r>
        <w:rPr/>
        <w:t xml:space="preserve">where </w:t>
      </w:r>
      <m:oMath>
        <m:sSub>
          <m:sSubPr/>
          <m:e>
            <m:r>
              <m:rPr>
                <m:sty m:val="i"/>
              </m:rPr>
              <m:t>G</m:t>
            </m:r>
          </m:e>
          <m:sub>
            <m:r>
              <m:rPr>
                <m:nor/>
              </m:rPr>
              <m:t>MAH </m:t>
            </m:r>
          </m:sub>
        </m:sSub>
      </m:oMath>
      <w:r>
        <w:rPr/>
        <w:t xml:space="preserve"> is the grafting proportion of MAH (%), </w:t>
      </w:r>
      <m:oMath>
        <m:sSub>
          <m:sSubPr/>
          <m:e>
            <m:r>
              <m:rPr>
                <m:sty m:val="i"/>
              </m:rPr>
              <m:t>c</m:t>
            </m:r>
          </m:e>
          <m:sub>
            <m:r>
              <m:rPr>
                <m:sty m:val="p"/>
              </m:rPr>
              <m:t>1</m:t>
            </m:r>
          </m:sub>
        </m:sSub>
      </m:oMath>
      <w:r>
        <w:rPr/>
        <w:t xml:space="preserve"> is the concentration of sodium hydroxide/alcohol standard solution </w:t>
      </w:r>
      <m:oMath>
        <m:r>
          <m:rPr>
            <m:sty m:val="p"/>
          </m:rPr>
          <m:t>(</m:t>
        </m:r>
        <m:r>
          <m:rPr>
            <m:sty m:val="p"/>
          </m:rPr>
          <m:t>mol</m:t>
        </m:r>
        <m:r>
          <m:rPr>
            <m:sty m:val="p"/>
          </m:rPr>
          <m:t>/</m:t>
        </m:r>
        <m:r>
          <m:rPr>
            <m:sty m:val="p"/>
          </m:rPr>
          <m:t>L</m:t>
        </m:r>
        <m:r>
          <m:rPr>
            <m:sty m:val="p"/>
          </m:rPr>
          <m:t>)</m:t>
        </m:r>
        <m:r>
          <m:rPr>
            <m:sty m:val="p"/>
          </m:rPr>
          <m:t>,</m:t>
        </m:r>
        <m:sSub>
          <m:sSubPr/>
          <m:e>
            <m:r>
              <m:rPr>
                <m:sty m:val="i"/>
              </m:rPr>
              <m:t>c</m:t>
            </m:r>
          </m:e>
          <m:sub>
            <m:r>
              <m:rPr>
                <m:sty m:val="p"/>
              </m:rPr>
              <m:t>2</m:t>
            </m:r>
          </m:sub>
        </m:sSub>
      </m:oMath>
      <w:r>
        <w:rPr/>
        <w:t xml:space="preserve"> is the concentration of acetic acid/ xylene standard solution </w:t>
      </w:r>
      <m:oMath>
        <m:r>
          <m:rPr>
            <m:sty m:val="p"/>
          </m:rPr>
          <m:t>(</m:t>
        </m:r>
        <m:r>
          <m:rPr>
            <m:sty m:val="p"/>
          </m:rPr>
          <m:t>mol</m:t>
        </m:r>
        <m:r>
          <m:rPr>
            <m:sty m:val="p"/>
          </m:rPr>
          <m:t>/</m:t>
        </m:r>
        <m:r>
          <m:rPr>
            <m:sty m:val="p"/>
          </m:rPr>
          <m:t>L</m:t>
        </m:r>
        <m:r>
          <m:rPr>
            <m:sty m:val="p"/>
          </m:rPr>
          <m:t>)</m:t>
        </m:r>
        <m:r>
          <m:rPr>
            <m:sty m:val="p"/>
          </m:rPr>
          <m:t>,</m:t>
        </m:r>
        <m:sSub>
          <m:sSubPr/>
          <m:e>
            <m:r>
              <m:rPr>
                <m:sty m:val="i"/>
              </m:rPr>
              <m:t>V</m:t>
            </m:r>
          </m:e>
          <m:sub>
            <m:r>
              <m:rPr>
                <m:sty m:val="p"/>
              </m:rPr>
              <m:t>1</m:t>
            </m:r>
          </m:sub>
        </m:sSub>
      </m:oMath>
      <w:r>
        <w:rPr/>
        <w:t xml:space="preserve"> is the volume of sodium hydroxide/alcohol standard solution (mL) consumed, </w:t>
      </w:r>
      <m:oMath>
        <m:sSub>
          <m:sSubPr/>
          <m:e>
            <m:r>
              <m:rPr>
                <m:sty m:val="i"/>
              </m:rPr>
              <m:t>V</m:t>
            </m:r>
          </m:e>
          <m:sub>
            <m:r>
              <m:rPr>
                <m:sty m:val="p"/>
              </m:rPr>
              <m:t>2</m:t>
            </m:r>
          </m:sub>
        </m:sSub>
      </m:oMath>
      <w:r>
        <w:rPr/>
        <w:t xml:space="preserve"> is the volume of acetic acid/dimethyl benzene standard solution (mL) consumed, and </w:t>
      </w:r>
      <m:oMath>
        <m:r>
          <m:rPr>
            <m:sty m:val="i"/>
          </m:rPr>
          <m:t>m</m:t>
        </m:r>
      </m:oMath>
      <w:r>
        <w:rPr/>
        <w:t xml:space="preserve"> is the weight of pure PP- </w:t>
      </w:r>
      <m:oMath>
        <m:r>
          <m:rPr>
            <m:sty m:val="i"/>
          </m:rPr>
          <m:t>g</m:t>
        </m:r>
        <m:r>
          <m:rPr>
            <m:sty m:val="p"/>
          </m:rPr>
          <m:t>−</m:t>
        </m:r>
        <m:r>
          <m:rPr>
            <m:sty m:val="p"/>
          </m:rPr>
          <m:t>(</m:t>
        </m:r>
        <m:r>
          <m:rPr>
            <m:sty m:val="p"/>
          </m:rPr>
          <m:t>MAH</m:t>
        </m:r>
        <m:r>
          <m:rPr>
            <m:sty m:val="p"/>
          </m:rPr>
          <m:t>−</m:t>
        </m:r>
        <m:r>
          <m:rPr>
            <m:sty m:val="p"/>
          </m:rPr>
          <m:t>co</m:t>
        </m:r>
        <m:r>
          <m:rPr>
            <m:sty m:val="p"/>
          </m:rPr>
          <m:t>−</m:t>
        </m:r>
        <m:r>
          <m:rPr>
            <m:sty m:val="p"/>
          </m:rPr>
          <m:t>St</m:t>
        </m:r>
        <m:r>
          <m:rPr>
            <m:sty m:val="p"/>
          </m:rPr>
          <m:t>)</m:t>
        </m:r>
        <m:r>
          <m:rPr>
            <m:sty m:val="p"/>
          </m:rPr>
          <m:t>(</m:t>
        </m:r>
        <m:r>
          <m:rPr>
            <m:sty m:val="p"/>
          </m:rPr>
          <m:t>g</m:t>
        </m:r>
        <m:r>
          <m:rPr>
            <m:sty m:val="p"/>
          </m:rPr>
          <m:t>)</m:t>
        </m:r>
      </m:oMath>
      <w:r>
        <w:rPr/>
        <w:t xml:space="preserve">. The molecular mass of MAH is 98.06.</w:t>
      </w:r>
    </w:p>
    <w:p>
      <w:pPr>
        <w:spacing w:after="220" w:lineRule="auto"/>
      </w:pPr>
      <w:r>
        <w:rPr/>
        <w:t xml:space="preserve">Fourier transform-infrared spectroscopy. The Fourier transform-infrared spectroscopy (FT-IR) spectra of samples were recorded using KBr pellets with a TENSOR27 FT-IR spectrometer (Bruker, Germany).</w:t>
      </w:r>
    </w:p>
    <w:p>
      <w:pPr>
        <w:spacing w:after="220" w:lineRule="auto"/>
      </w:pPr>
      <w:r>
        <w:rPr/>
        <w:t xml:space="preserve">Scanning electron microscopy. The internal microstructures of the samples were observed using an S-3500N-type scanning electron microscope (Hitachi, Tokyo, Japan). The samples were prepared by freezing PPC/PP slices in liquid nitrogen followed by application of a high-speed impact to create freshly fractured surfaces. The fractured surfaces were covered with gold before observation.</w:t>
      </w:r>
    </w:p>
    <w:p>
      <w:pPr>
        <w:spacing w:after="220" w:lineRule="auto"/>
      </w:pPr>
      <w:r>
        <w:rPr>
          <w:rFonts w:eastAsia="Georgia" w:cs="Georgia" w:ascii="Georgia" w:hAnsi="Georgia"/>
        </w:rPr>
        <w:t xml:space="preserve">Tensile properties. The tensile properties of rectangularshaped slice samples (1 cm × 10 cm) were evaluated using an XLW-Intelligent electronic tensile testing machine (Jinan Labthink Mechanical and Electrical Company Ltd., China) at a tensile speed of 500 mm/min and an environment temperature of 30°C.</w:t>
      </w:r>
    </w:p>
    <w:p>
      <w:pPr>
        <w:spacing w:after="220" w:lineRule="auto"/>
      </w:pPr>
      <w:r>
        <w:rPr/>
        <w:t xml:space="preserve">MFR. MFR tests were carried out using an RL218-MFR instrument (Shanghai Sierda Scientific Instrument Company Ltd., China) at </w:t>
      </w:r>
      <m:oMath>
        <m:sSup>
          <m:sSupPr/>
          <m:e>
            <m:r>
              <m:rPr>
                <m:sty m:val="p"/>
              </m:rPr>
              <m:t>230</m:t>
            </m:r>
          </m:e>
          <m:sup>
            <m:r>
              <m:rPr>
                <m:sty m:val="p"/>
              </m:rPr>
              <m:t>∘</m:t>
            </m:r>
          </m:sup>
        </m:sSup>
        <m:r>
          <m:rPr>
            <m:sty m:val="p"/>
          </m:rPr>
          <m:t>C</m:t>
        </m:r>
      </m:oMath>
      <w:r>
        <w:rPr/>
        <w:t xml:space="preserve"> and 2160 g load (ASTM D1238-2004) according to the Standard Test Method for Melt Flow Rates of Thermoplastics by an extrusion plastometer.</w:t>
      </w:r>
    </w:p>
    <w:p>
      <w:pPr>
        <w:spacing w:after="220" w:lineRule="auto"/>
      </w:pPr>
      <w:r>
        <w:rPr/>
        <w:t xml:space="preserve">Thermal properties. The melting temperature ( </w:t>
      </w:r>
      <m:oMath>
        <m:sSub>
          <m:sSubPr/>
          <m:e>
            <m:r>
              <m:rPr>
                <m:sty m:val="i"/>
              </m:rPr>
              <m:t>T</m:t>
            </m:r>
          </m:e>
          <m:sub>
            <m:r>
              <m:rPr>
                <m:sty m:val="p"/>
              </m:rPr>
              <m:t>m</m:t>
            </m:r>
          </m:sub>
        </m:sSub>
      </m:oMath>
      <w:r>
        <w:rPr/>
        <w:t xml:space="preserve"> ) and glass transition temperature ( </w:t>
      </w:r>
      <m:oMath>
        <m:sSub>
          <m:sSubPr/>
          <m:e>
            <m:r>
              <m:rPr>
                <m:sty m:val="i"/>
              </m:rPr>
              <m:t>T</m:t>
            </m:r>
          </m:e>
          <m:sub>
            <m:r>
              <m:rPr>
                <m:sty m:val="p"/>
              </m:rPr>
              <m:t>g</m:t>
            </m:r>
          </m:sub>
        </m:sSub>
      </m:oMath>
      <w:r>
        <w:rPr/>
        <w:t xml:space="preserve"> ) were determined by differential scanning calorimetry (DSC) using a NETZSCH DSC Q100 (T.A. Instruments Inc., Los Angeles, USA). The thermal degradation temperatures ( </w:t>
      </w:r>
      <m:oMath>
        <m:sSub>
          <m:sSubPr/>
          <m:e>
            <m:r>
              <m:rPr>
                <m:sty m:val="i"/>
              </m:rPr>
              <m:t>T</m:t>
            </m:r>
          </m:e>
          <m:sub>
            <m:r>
              <m:rPr>
                <m:sty m:val="p"/>
              </m:rPr>
              <m:t>−</m:t>
            </m:r>
            <m:r>
              <m:rPr>
                <m:sty m:val="p"/>
              </m:rPr>
              <m:t>5</m:t>
            </m:r>
            <m:r>
              <m:rPr>
                <m:sty m:val="p"/>
              </m:rPr>
              <m:t>%</m:t>
            </m:r>
          </m:sub>
        </m:sSub>
        <m:r>
          <m:rPr>
            <m:sty m:val="p"/>
          </m:rPr>
          <m:t>,</m:t>
        </m:r>
        <m:sSub>
          <m:sSubPr/>
          <m:e>
            <m:r>
              <m:rPr>
                <m:sty m:val="i"/>
              </m:rPr>
              <m:t>T</m:t>
            </m:r>
          </m:e>
          <m:sub>
            <m:r>
              <m:rPr>
                <m:sty m:val="p"/>
              </m:rPr>
              <m:t>−</m:t>
            </m:r>
            <m:r>
              <m:rPr>
                <m:sty m:val="p"/>
              </m:rPr>
              <m:t>50</m:t>
            </m:r>
            <m:r>
              <m:rPr>
                <m:sty m:val="p"/>
              </m:rPr>
              <m:t>%</m:t>
            </m:r>
          </m:sub>
        </m:sSub>
        <m:r>
          <m:rPr>
            <m:sty m:val="p"/>
          </m:rPr>
          <m:t>,</m:t>
        </m:r>
        <m:sSub>
          <m:sSubPr/>
          <m:e>
            <m:r>
              <m:rPr>
                <m:sty m:val="i"/>
              </m:rPr>
              <m:t>T</m:t>
            </m:r>
          </m:e>
          <m:sub>
            <m:r>
              <m:rPr>
                <m:sty m:val="p"/>
              </m:rPr>
              <m:t>−</m:t>
            </m:r>
            <m:r>
              <m:rPr>
                <m:sty m:val="p"/>
              </m:rPr>
              <m:t>95</m:t>
            </m:r>
            <m:r>
              <m:rPr>
                <m:sty m:val="p"/>
              </m:rPr>
              <m:t>%</m:t>
            </m:r>
          </m:sub>
        </m:sSub>
      </m:oMath>
      <w:r>
        <w:rPr/>
        <w:t xml:space="preserve">, and </w:t>
      </w:r>
      <m:oMath>
        <m:sSub>
          <m:sSubPr/>
          <m:e>
            <m:r>
              <m:rPr>
                <m:sty m:val="i"/>
              </m:rPr>
              <m:t>T</m:t>
            </m:r>
          </m:e>
          <m:sub>
            <m:r>
              <m:rPr>
                <m:sty m:val="p"/>
              </m:rPr>
              <m:t>p</m:t>
            </m:r>
          </m:sub>
        </m:sSub>
      </m:oMath>
      <w:r>
        <w:rPr/>
        <w:t xml:space="preserve"> ) were determined by thermogravimetric analysis (TG) using a NETZSCH TG Q600 (T.A. Instruments Inc.). DSC analysis was performed by scanning each sample from </w:t>
      </w:r>
      <m:oMath>
        <m:r>
          <m:rPr>
            <m:sty m:val="p"/>
          </m:rPr>
          <m:t>−</m:t>
        </m:r>
        <m:sSup>
          <m:sSupPr/>
          <m:e>
            <m:r>
              <m:rPr>
                <m:sty m:val="p"/>
              </m:rPr>
              <m:t>50</m:t>
            </m:r>
          </m:e>
          <m:sup>
            <m:r>
              <m:rPr>
                <m:sty m:val="p"/>
              </m:rPr>
              <m:t>∘</m:t>
            </m:r>
          </m:sup>
        </m:sSup>
        <m:r>
          <m:rPr>
            <m:sty m:val="p"/>
          </m:rPr>
          <m:t>C</m:t>
        </m:r>
      </m:oMath>
      <w:r>
        <w:rPr/>
        <w:t xml:space="preserve"> to </w:t>
      </w:r>
      <m:oMath>
        <m:sSup>
          <m:sSupPr/>
          <m:e>
            <m:r>
              <m:rPr>
                <m:sty m:val="p"/>
              </m:rPr>
              <m:t>200</m:t>
            </m:r>
          </m:e>
          <m:sup>
            <m:r>
              <m:rPr>
                <m:sty m:val="p"/>
              </m:rPr>
              <m:t>∘</m:t>
            </m:r>
          </m:sup>
        </m:sSup>
        <m:r>
          <m:rPr>
            <m:sty m:val="p"/>
          </m:rPr>
          <m:t>C</m:t>
        </m:r>
      </m:oMath>
      <w:r>
        <w:rPr/>
        <w:t xml:space="preserve"> at a heating rate of </w:t>
      </w:r>
      <m:oMath>
        <m:sSup>
          <m:sSupPr/>
          <m:e>
            <m:r>
              <m:rPr>
                <m:sty m:val="p"/>
              </m:rPr>
              <m:t>10</m:t>
            </m:r>
          </m:e>
          <m:sup>
            <m:r>
              <m:rPr>
                <m:sty m:val="p"/>
              </m:rPr>
              <m:t>∘</m:t>
            </m:r>
          </m:sup>
        </m:sSup>
        <m:r>
          <m:rPr>
            <m:sty m:val="p"/>
          </m:rPr>
          <m:t>C</m:t>
        </m:r>
        <m:r>
          <m:rPr>
            <m:sty m:val="p"/>
          </m:rPr>
          <m:t>/</m:t>
        </m:r>
        <m:r>
          <m:rPr>
            <m:sty m:val="p"/>
          </m:rPr>
          <m:t>min</m:t>
        </m:r>
      </m:oMath>
      <w:r>
        <w:rPr>
          <w:rFonts w:eastAsia="Georgia" w:cs="Georgia" w:ascii="Georgia" w:hAnsi="Georgia"/>
        </w:rPr>
        <w:t xml:space="preserve">. TG analysis was performed by scanning each sample from 30°C to 500°C at a heating rate of 10°C/min. The crystallinity of PPC/PP slices is calculated by equation (2)</w:t>
      </w:r>
    </w:p>
    <w:p>
      <w:pPr>
        <w:spacing w:after="220" w:lineRule="auto"/>
      </w:pPr>
      <m:oMathPara>
        <m:oMath>
          <m:eqArr>
            <m:eqArrPr>
              <m:maxDist m:val="1"/>
              <m:ctrlPr>
                <w:rPr>
                  <w:rFonts w:ascii="Cambria Math" w:hAnsi="Cambria Math"/>
                </w:rPr>
              </m:ctrlPr>
            </m:eqArrPr>
            <m:e>
              <m:sSub>
                <m:sSubPr/>
                <m:e>
                  <m:r>
                    <m:rPr>
                      <m:sty m:val="i"/>
                    </m:rPr>
                    <m:t>X</m:t>
                  </m:r>
                </m:e>
                <m:sub>
                  <m:r>
                    <m:rPr>
                      <m:sty m:val="p"/>
                    </m:rPr>
                    <m:t>c</m:t>
                  </m:r>
                </m:sub>
              </m:sSub>
              <m:r>
                <m:rPr>
                  <m:sty m:val="p"/>
                </m:rPr>
                <m:t>=</m:t>
              </m:r>
              <m:f>
                <m:fPr>
                  <m:ctrlPr>
                    <w:rPr>
                      <w:rFonts w:ascii="Cambria Math" w:hAnsi="Cambria Math"/>
                    </w:rPr>
                  </m:ctrlPr>
                </m:fPr>
                <m:num>
                  <m:r>
                    <m:rPr>
                      <m:sty m:val="p"/>
                    </m:rPr>
                    <m:t>Δ</m:t>
                  </m:r>
                  <m:sSub>
                    <m:sSubPr/>
                    <m:e>
                      <m:r>
                        <m:rPr>
                          <m:sty m:val="i"/>
                        </m:rPr>
                        <m:t>H</m:t>
                      </m:r>
                    </m:e>
                    <m:sub>
                      <m:r>
                        <m:rPr>
                          <m:sty m:val="p"/>
                        </m:rPr>
                        <m:t>m</m:t>
                      </m:r>
                    </m:sub>
                  </m:sSub>
                </m:num>
                <m:den>
                  <m:r>
                    <m:rPr>
                      <m:sty m:val="p"/>
                    </m:rPr>
                    <m:t>Δ</m:t>
                  </m:r>
                  <m:sSub>
                    <m:sSubPr/>
                    <m:e>
                      <m:r>
                        <m:rPr>
                          <m:sty m:val="i"/>
                        </m:rPr>
                        <m:t>H</m:t>
                      </m:r>
                    </m:e>
                    <m:sub>
                      <m:r>
                        <m:rPr>
                          <m:sty m:val="p"/>
                        </m:rPr>
                        <m:t>0</m:t>
                      </m:r>
                    </m:sub>
                  </m:sSub>
                </m:den>
              </m:f>
              <m:r>
                <m:rPr>
                  <m:sty m:val="p"/>
                </m:rPr>
                <m:t>×</m:t>
              </m:r>
              <m:r>
                <m:rPr>
                  <m:sty m:val="p"/>
                </m:rPr>
                <m:t>100</m:t>
              </m:r>
              <m:r>
                <m:rPr>
                  <m:sty m:val="p"/>
                </m:rPr>
                <m:t>%</m:t>
              </m:r>
              <m:r>
                <m:t>#(2)</m:t>
              </m:r>
            </m:e>
          </m:eqArr>
        </m:oMath>
      </m:oMathPara>
    </w:p>
    <w:p>
      <w:pPr>
        <w:spacing w:after="220" w:lineRule="auto"/>
      </w:pPr>
      <w:r>
        <w:rPr/>
        <w:t xml:space="preserve">where </w:t>
      </w:r>
      <m:oMath>
        <m:sSub>
          <m:sSubPr/>
          <m:e>
            <m:r>
              <m:rPr>
                <m:sty m:val="i"/>
              </m:rPr>
              <m:t>X</m:t>
            </m:r>
          </m:e>
          <m:sub>
            <m:r>
              <m:rPr>
                <m:sty m:val="p"/>
              </m:rPr>
              <m:t>c</m:t>
            </m:r>
          </m:sub>
        </m:sSub>
      </m:oMath>
      <w:r>
        <w:rPr/>
        <w:t xml:space="preserve"> is the crystallinity of PPC/PP slices (%), </w:t>
      </w:r>
      <m:oMath>
        <m:r>
          <m:rPr>
            <m:sty m:val="p"/>
          </m:rPr>
          <m:t>Δ</m:t>
        </m:r>
        <m:sSub>
          <m:sSubPr/>
          <m:e>
            <m:r>
              <m:rPr>
                <m:sty m:val="i"/>
              </m:rPr>
              <m:t>H</m:t>
            </m:r>
          </m:e>
          <m:sub>
            <m:r>
              <m:rPr>
                <m:sty m:val="p"/>
              </m:rPr>
              <m:t>m</m:t>
            </m:r>
          </m:sub>
        </m:sSub>
      </m:oMath>
      <w:r>
        <w:rPr/>
        <w:t xml:space="preserve"> is the crystal melting enthalpy of the PPC/PP slices (J/g), and </w:t>
      </w:r>
      <m:oMath>
        <m:r>
          <m:rPr>
            <m:sty m:val="p"/>
          </m:rPr>
          <m:t>Δ</m:t>
        </m:r>
        <m:sSub>
          <m:sSubPr/>
          <m:e>
            <m:r>
              <m:rPr>
                <m:sty m:val="i"/>
              </m:rPr>
              <m:t>H</m:t>
            </m:r>
          </m:e>
          <m:sub>
            <m:r>
              <m:rPr>
                <m:sty m:val="p"/>
              </m:rPr>
              <m:t>0</m:t>
            </m:r>
          </m:sub>
        </m:sSub>
      </m:oMath>
      <w:r>
        <w:rPr/>
        <w:t xml:space="preserve"> is the complete crystallization or melting enthalpy of the PPC/PP slices (J/g). </w:t>
      </w:r>
      <m:oMath>
        <m:r>
          <m:rPr>
            <m:sty m:val="p"/>
          </m:rPr>
          <m:t>Δ</m:t>
        </m:r>
        <m:sSub>
          <m:sSubPr/>
          <m:e>
            <m:r>
              <m:rPr>
                <m:sty m:val="i"/>
              </m:rPr>
              <m:t>H</m:t>
            </m:r>
          </m:e>
          <m:sub>
            <m:r>
              <m:rPr>
                <m:sty m:val="p"/>
              </m:rPr>
              <m:t>0</m:t>
            </m:r>
          </m:sub>
        </m:sSub>
      </m:oMath>
      <w:r>
        <w:rPr/>
        <w:t xml:space="preserve"> is calculated from the ratio of PPC and PP, the standard melting enthalpy of PPC is 0 J/g, and the standard melting enthalpy of PP is 209 J/g.</w:t>
      </w:r>
    </w:p>
    <w:p>
      <w:pPr>
        <w:spacing w:after="220" w:lineRule="auto"/>
      </w:pPr>
      <w:r>
        <w:rPr>
          <w:rFonts w:eastAsia="Georgia" w:cs="Georgia" w:ascii="Georgia" w:hAnsi="Georgia"/>
        </w:rPr>
        <w:t xml:space="preserve">Degradation test. PPC/PP slices (1 cm × 1 cm) of 0.4 mm thickness were dried in a vacuum oven at 50°C for more than 12 h until a constant weight was achieved and degraded in phosphate buffer solution (PBS; </w:t>
      </w:r>
      <m:oMath>
        <m:r>
          <m:rPr>
            <m:sty m:val="p"/>
          </m:rPr>
          <m:t>pH</m:t>
        </m:r>
        <m:r>
          <m:rPr>
            <m:sty m:val="p"/>
          </m:rPr>
          <m:t>=</m:t>
        </m:r>
        <m:r>
          <m:rPr>
            <m:sty m:val="p"/>
          </m:rPr>
          <m:t>7.7</m:t>
        </m:r>
      </m:oMath>
      <w:r>
        <w:rPr>
          <w:rFonts w:eastAsia="Georgia" w:cs="Georgia" w:ascii="Georgia" w:hAnsi="Georgia"/>
        </w:rPr>
        <w:t xml:space="preserve"> ) at 60°C. The PBS was replaced every 6 days to ensure the stability of the pH. The weightlessness rate represents the degradation rate and is calculated by equation (3)</w:t>
      </w:r>
    </w:p>
    <w:p>
      <w:pPr>
        <w:spacing w:after="220" w:lineRule="auto"/>
      </w:pPr>
      <m:oMathPara>
        <m:oMath>
          <m:eqArr>
            <m:eqArrPr>
              <m:maxDist m:val="1"/>
              <m:ctrlPr>
                <w:rPr>
                  <w:rFonts w:ascii="Cambria Math" w:hAnsi="Cambria Math"/>
                </w:rPr>
              </m:ctrlPr>
            </m:eqArrPr>
            <m:e>
              <m:sSub>
                <m:sSubPr/>
                <m:e>
                  <m:r>
                    <m:rPr>
                      <m:sty m:val="i"/>
                    </m:rPr>
                    <m:t>W</m:t>
                  </m:r>
                </m:e>
                <m:sub>
                  <m:r>
                    <m:rPr>
                      <m:sty m:val="p"/>
                    </m:rPr>
                    <m:t>r</m:t>
                  </m:r>
                </m:sub>
              </m:sSub>
              <m:r>
                <m:rPr>
                  <m:sty m:val="p"/>
                </m:rPr>
                <m:t>=</m:t>
              </m:r>
              <m:f>
                <m:fPr>
                  <m:ctrlPr>
                    <w:rPr>
                      <w:rFonts w:ascii="Cambria Math" w:hAnsi="Cambria Math"/>
                    </w:rPr>
                  </m:ctrlPr>
                </m:fPr>
                <m:num>
                  <m:sSub>
                    <m:sSubPr/>
                    <m:e>
                      <m:r>
                        <m:rPr>
                          <m:sty m:val="i"/>
                        </m:rPr>
                        <m:t>m</m:t>
                      </m:r>
                    </m:e>
                    <m:sub>
                      <m:r>
                        <m:rPr>
                          <m:sty m:val="p"/>
                        </m:rPr>
                        <m:t>0</m:t>
                      </m:r>
                    </m:sub>
                  </m:sSub>
                  <m:r>
                    <m:rPr>
                      <m:sty m:val="p"/>
                    </m:rPr>
                    <m:t>−</m:t>
                  </m:r>
                  <m:sSub>
                    <m:sSubPr/>
                    <m:e>
                      <m:r>
                        <m:rPr>
                          <m:sty m:val="i"/>
                        </m:rPr>
                        <m:t>m</m:t>
                      </m:r>
                    </m:e>
                    <m:sub>
                      <m:r>
                        <m:rPr>
                          <m:sty m:val="p"/>
                        </m:rPr>
                        <m:t>1</m:t>
                      </m:r>
                    </m:sub>
                  </m:sSub>
                </m:num>
                <m:den>
                  <m:sSub>
                    <m:sSubPr/>
                    <m:e>
                      <m:r>
                        <m:rPr>
                          <m:sty m:val="i"/>
                        </m:rPr>
                        <m:t>m</m:t>
                      </m:r>
                    </m:e>
                    <m:sub>
                      <m:r>
                        <m:rPr>
                          <m:sty m:val="p"/>
                        </m:rPr>
                        <m:t>0</m:t>
                      </m:r>
                    </m:sub>
                  </m:sSub>
                </m:den>
              </m:f>
              <m:r>
                <m:rPr>
                  <m:sty m:val="p"/>
                </m:rPr>
                <m:t>×</m:t>
              </m:r>
              <m:r>
                <m:rPr>
                  <m:sty m:val="p"/>
                </m:rPr>
                <m:t>100</m:t>
              </m:r>
              <m:r>
                <m:rPr>
                  <m:sty m:val="p"/>
                </m:rPr>
                <m:t>%</m:t>
              </m:r>
              <m:r>
                <m:t>#(3)</m:t>
              </m:r>
            </m:e>
          </m:eqArr>
        </m:oMath>
      </m:oMathPara>
    </w:p>
    <w:p>
      <w:pPr>
        <w:spacing w:after="220" w:lineRule="auto"/>
      </w:pPr>
      <w:r>
        <w:rPr/>
        <w:t xml:space="preserve">where </w:t>
      </w:r>
      <m:oMath>
        <m:sSub>
          <m:sSubPr/>
          <m:e>
            <m:r>
              <m:rPr>
                <m:sty m:val="i"/>
              </m:rPr>
              <m:t>W</m:t>
            </m:r>
          </m:e>
          <m:sub>
            <m:r>
              <m:rPr>
                <m:sty m:val="p"/>
              </m:rPr>
              <m:t>r</m:t>
            </m:r>
          </m:sub>
        </m:sSub>
      </m:oMath>
      <w:r>
        <w:rPr/>
        <w:t xml:space="preserve"> is the weightlessness rate (%), </w:t>
      </w:r>
      <m:oMath>
        <m:sSub>
          <m:sSubPr/>
          <m:e>
            <m:r>
              <m:rPr>
                <m:sty m:val="i"/>
              </m:rPr>
              <m:t>m</m:t>
            </m:r>
          </m:e>
          <m:sub>
            <m:r>
              <m:rPr>
                <m:sty m:val="p"/>
              </m:rPr>
              <m:t>0</m:t>
            </m:r>
          </m:sub>
        </m:sSub>
      </m:oMath>
      <w:r>
        <w:rPr/>
        <w:t xml:space="preserve"> is the initial weight of the PPC/PP slices (g), and </w:t>
      </w:r>
      <m:oMath>
        <m:sSub>
          <m:sSubPr/>
          <m:e>
            <m:r>
              <m:rPr>
                <m:sty m:val="i"/>
              </m:rPr>
              <m:t>m</m:t>
            </m:r>
          </m:e>
          <m:sub>
            <m:r>
              <m:rPr>
                <m:sty m:val="p"/>
              </m:rPr>
              <m:t>1</m:t>
            </m:r>
          </m:sub>
        </m:sSub>
      </m:oMath>
      <w:r>
        <w:rPr/>
        <w:t xml:space="preserve"> is the weight of the PPC/PP slices after degradation (g).</w:t>
      </w:r>
      <w:r>
        <w:rPr/>
        <w:br w:type="textWrapping"/>
      </w:r>
      <m:oMath>
        <m:sSup>
          <m:sSupPr/>
          <m:e>
            <m:r>
              <m:t xml:space="preserve"> </m:t>
            </m:r>
          </m:e>
          <m:sup>
            <m:r>
              <m:rPr>
                <m:sty m:val="p"/>
              </m:rPr>
              <m:t>1</m:t>
            </m:r>
          </m:sup>
        </m:sSup>
        <m:r>
          <m:rPr>
            <m:sty m:val="i"/>
          </m:rPr>
          <m:t>H</m:t>
        </m:r>
      </m:oMath>
      <w:r>
        <w:rPr/>
        <w:t xml:space="preserve"> nuclear magnetic resonance spectroscopy. The </w:t>
      </w:r>
      <m:oMath>
        <m:sSup>
          <m:sSupPr/>
          <m:e>
            <m:r>
              <m:t xml:space="preserve"> </m:t>
            </m:r>
          </m:e>
          <m:sup>
            <m:r>
              <m:rPr>
                <m:sty m:val="p"/>
              </m:rPr>
              <m:t>1</m:t>
            </m:r>
          </m:sup>
        </m:sSup>
        <m:r>
          <m:rPr>
            <m:sty m:val="p"/>
          </m:rPr>
          <m:t>H</m:t>
        </m:r>
      </m:oMath>
      <w:r>
        <w:rPr/>
        <w:t xml:space="preserve"> nuclear magnetic resonance spectroscopy ( </w:t>
      </w:r>
      <m:oMath>
        <m:sSup>
          <m:sSupPr/>
          <m:e>
            <m:r>
              <m:t xml:space="preserve"> </m:t>
            </m:r>
          </m:e>
          <m:sup>
            <m:r>
              <m:rPr>
                <m:sty m:val="p"/>
              </m:rPr>
              <m:t>1</m:t>
            </m:r>
          </m:sup>
        </m:sSup>
        <m:r>
          <m:rPr>
            <m:sty m:val="p"/>
          </m:rPr>
          <m:t>H</m:t>
        </m:r>
        <m:r>
          <m:rPr>
            <m:sty m:val="p"/>
          </m:rPr>
          <m:t>NMR</m:t>
        </m:r>
      </m:oMath>
      <w:r>
        <w:rPr/>
        <w:t xml:space="preserve"> ) spectra of samples dissolved in deuterated chloroform were recorded using an AV400 NMR spectrometer (Bruker, Switzerland).</w:t>
      </w:r>
    </w:p>
    <w:p>
      <w:pPr>
        <w:spacing w:line="271" w:before="330" w:lineRule="auto"/>
      </w:pPr>
      <w:bookmarkStart w:id="6" w:name="results_and_discussion"/>
      <w:r>
        <w:rPr>
          <w:b/>
          <w:sz w:val="42"/>
        </w:rPr>
        <w:t xml:space="preserve">Results and discussion</w:t>
      </w:r>
      <w:bookmarkEnd w:id="6"/>
    </w:p>
    <w:p>
      <w:pPr>
        <w:spacing w:line="271" w:before="330" w:lineRule="auto"/>
      </w:pPr>
      <w:bookmarkStart w:id="7" w:name="characterization_of_pp_g_mah_co_st"/>
      <w:r>
        <w:rPr>
          <w:b/>
          <w:sz w:val="42"/>
        </w:rPr>
        <w:t xml:space="preserve">Characterization of PP-g-(MAH-co-St)</w:t>
      </w:r>
      <w:bookmarkEnd w:id="7"/>
    </w:p>
    <w:p>
      <w:pPr>
        <w:spacing w:after="220" w:lineRule="auto"/>
      </w:pPr>
      <w:r>
        <w:rPr/>
        <w:t xml:space="preserve">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with three grafting proportions </w:t>
      </w:r>
      <m:oMath>
        <m:d>
          <m:dPr>
            <m:begChr m:val="("/>
            <m:endChr m:val=")"/>
            <m:ctrlPr>
              <w:rPr>
                <w:rFonts w:ascii="Cambria Math" w:hAnsi="Cambria Math"/>
              </w:rPr>
            </m:ctrlPr>
          </m:dPr>
          <m:e>
            <m:sSub>
              <m:sSubPr/>
              <m:e>
                <m:r>
                  <m:rPr>
                    <m:sty m:val="i"/>
                  </m:rPr>
                  <m:t>G</m:t>
                </m:r>
              </m:e>
              <m:sub>
                <m:r>
                  <m:rPr>
                    <m:sty m:val="p"/>
                  </m:rPr>
                  <m:t>MAH</m:t>
                </m:r>
              </m:sub>
            </m:sSub>
          </m:e>
        </m:d>
      </m:oMath>
      <w:r>
        <w:rPr/>
        <w:t xml:space="preserve"> were prepared by varying experimental conditions such as the raw material ratio, processing temperature, and processing time. The </w:t>
      </w:r>
      <m:oMath>
        <m:sSub>
          <m:sSubPr/>
          <m:e>
            <m:r>
              <m:rPr>
                <m:sty m:val="i"/>
              </m:rPr>
              <m:t>G</m:t>
            </m:r>
          </m:e>
          <m:sub>
            <m:r>
              <m:rPr>
                <m:nor/>
              </m:rPr>
              <m:t>MAH </m:t>
            </m:r>
          </m:sub>
        </m:sSub>
      </m:oMath>
      <w:r>
        <w:rPr/>
        <w:t xml:space="preserve"> of PP-g-(MAH-co-St) prepared with different raw material ratios is shown in Table 1. As shown in Table 1, when the ratio of PP/MAH/St/DCP is 100/6/6/0.2, the </w:t>
      </w:r>
      <m:oMath>
        <m:sSub>
          <m:sSubPr/>
          <m:e>
            <m:r>
              <m:rPr>
                <m:sty m:val="i"/>
              </m:rPr>
              <m:t>G</m:t>
            </m:r>
          </m:e>
          <m:sub>
            <m:r>
              <m:rPr>
                <m:nor/>
              </m:rPr>
              <m:t>MAH </m:t>
            </m:r>
          </m:sub>
        </m:sSub>
      </m:oMath>
      <w:r>
        <w:rPr/>
        <w:t xml:space="preserve"> of PP- </w:t>
      </w:r>
      <m:oMath>
        <m:r>
          <m:rPr>
            <m:sty m:val="i"/>
          </m:rPr>
          <m:t>g</m:t>
        </m:r>
      </m:oMath>
      <w:r>
        <w:rPr/>
        <w:t xml:space="preserve">-(MAH-co-St) is </w:t>
      </w:r>
      <m:oMath>
        <m:r>
          <m:rPr>
            <m:sty m:val="p"/>
          </m:rPr>
          <m:t>0.89</m:t>
        </m:r>
        <m:r>
          <m:rPr>
            <m:sty m:val="p"/>
          </m:rPr>
          <m:t>%</m:t>
        </m:r>
      </m:oMath>
      <w:r>
        <w:rPr/>
        <w:t xml:space="preserve">. The </w:t>
      </w:r>
      <m:oMath>
        <m:sSub>
          <m:sSubPr/>
          <m:e>
            <m:r>
              <m:rPr>
                <m:sty m:val="i"/>
              </m:rPr>
              <m:t>G</m:t>
            </m:r>
          </m:e>
          <m:sub>
            <m:r>
              <m:rPr>
                <m:nor/>
              </m:rPr>
              <m:t>MAH </m:t>
            </m:r>
          </m:sub>
        </m:sSub>
      </m:oMath>
      <w:r>
        <w:rPr/>
        <w:t xml:space="preserve"> of PP- </w:t>
      </w:r>
      <m:oMath>
        <m:r>
          <m:rPr>
            <m:sty m:val="i"/>
          </m:rPr>
          <m:t>g</m:t>
        </m:r>
      </m:oMath>
      <w:r>
        <w:rPr/>
        <w:t xml:space="preserve">-(MAH-co-St) (100/6/6/0.4) was higher than that of PP- </w:t>
      </w:r>
      <m:oMath>
        <m:r>
          <m:rPr>
            <m:sty m:val="i"/>
          </m:rPr>
          <m:t>g</m:t>
        </m:r>
      </m:oMath>
      <w:r>
        <w:rPr/>
        <w:t xml:space="preserve">-(MAH-co-St) (100/6/0/0.4), which implies that the grafting reaction is promoted by St. The </w:t>
      </w:r>
      <m:oMath>
        <m:sSub>
          <m:sSubPr/>
          <m:e>
            <m:r>
              <m:rPr>
                <m:sty m:val="i"/>
              </m:rPr>
              <m:t>G</m:t>
            </m:r>
          </m:e>
          <m:sub>
            <m:r>
              <m:rPr>
                <m:nor/>
              </m:rPr>
              <m:t>MAH </m:t>
            </m:r>
          </m:sub>
        </m:sSub>
      </m:oMath>
      <w:r>
        <w:rPr/>
        <w:t xml:space="preserve"> of PP- </w:t>
      </w:r>
      <m:oMath>
        <m:r>
          <m:rPr>
            <m:sty m:val="i"/>
          </m:rPr>
          <m:t>g</m:t>
        </m:r>
      </m:oMath>
      <w:r>
        <w:rPr/>
        <w:t xml:space="preserve">-(MAH-co-St) (100/6/6/0.2) was lower than that of PP- </w:t>
      </w:r>
      <m:oMath>
        <m:r>
          <m:rPr>
            <m:sty m:val="i"/>
          </m:rPr>
          <m:t>g</m:t>
        </m:r>
      </m:oMath>
      <w:r>
        <w:rPr/>
        <w:t xml:space="preserve">-(MAH-co-St) (100/6/6/0.4) because not enough free radicals are available for reaction when the</w:t>
      </w:r>
    </w:p>
    <w:p>
      <w:pPr>
        <w:spacing w:lineRule="auto"/>
      </w:pPr>
      <w:r>
        <w:rPr/>
        <w:t xml:space="preserve">Table I. </w:t>
      </w:r>
      <m:oMath>
        <m:sSub>
          <m:sSubPr/>
          <m:e>
            <m:r>
              <m:rPr>
                <m:sty m:val="p"/>
              </m:rPr>
              <m:t>G</m:t>
            </m:r>
          </m:e>
          <m:sub>
            <m:r>
              <m:rPr>
                <m:nor/>
              </m:rPr>
              <m:t>MAH </m:t>
            </m:r>
          </m:sub>
        </m:sSub>
      </m:oMath>
      <w:r>
        <w:rPr/>
        <w:t xml:space="preserve"> of PP-g-(MAH-co-St) prepared with different raw material ratios.</w:t>
      </w:r>
    </w:p>
    <w:tbl>
      <w:tblPr>
        <w:tblStyle w:val="TableGrid"/>
        <w:jc w:val="center"/>
        <w:tblCellSpacing w:w="0" w:type="dxa"/>
        <w:tblBorders/>
        <w:tblCellMar>
          <w:top w:type="dxa" w:w="80"/>
          <w:left w:type="dxa" w:w="160"/>
          <w:bottom w:type="dxa" w:w="80"/>
          <w:right w:type="dxa" w:w="160"/>
        </w:tblCellMar>
      </w:tblPr>
      <w:tblGrid>
        <w:gridCol w:w="4320"/>
        <w:gridCol w:w="432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Raw material ratios (PP/MAH/St/DCP)</w:t>
            </w:r>
          </w:p>
        </w:tc>
        <w:tc>
          <w:tcPr>
            <w:tcBorders>
              <w:top w:val="single" w:sz="8" w:space="0" w:color="000000"/>
              <w:bottom w:val="single" w:sz="8" w:space="0" w:color="000000"/>
              <w:right w:val="single" w:sz="8" w:space="0" w:color="000000"/>
            </w:tcBorders>
            <w:vAlign w:val="top"/>
          </w:tcPr>
          <w:p>
            <w:pPr>
              <w:spacing w:lineRule="auto"/>
              <w:jc w:val="left"/>
            </w:pPr>
            <m:oMath>
              <m:sSub>
                <m:sSubPr/>
                <m:e>
                  <m:r>
                    <m:rPr>
                      <m:sty m:val="i"/>
                    </m:rPr>
                    <m:t>G</m:t>
                  </m:r>
                </m:e>
                <m:sub>
                  <m:r>
                    <m:rPr>
                      <m:nor/>
                    </m:rPr>
                    <m:t>MAH </m:t>
                  </m:r>
                </m:sub>
              </m:sSub>
            </m:oMath>
            <w:r>
              <w:rPr/>
              <w:t xml:space="preserve"> of PP-g-(MAH-co-St) (%)</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100/6/6/0.2</w:t>
            </w:r>
          </w:p>
        </w:tc>
        <w:tc>
          <w:tcPr>
            <w:tcBorders>
              <w:bottom w:val="single" w:sz="8" w:space="0" w:color="000000"/>
              <w:right w:val="single" w:sz="8" w:space="0" w:color="000000"/>
            </w:tcBorders>
            <w:vAlign w:val="top"/>
          </w:tcPr>
          <w:p>
            <w:pPr>
              <w:spacing w:lineRule="auto"/>
              <w:jc w:val="left"/>
            </w:pPr>
            <w:r>
              <w:rPr/>
              <w:t xml:space="preserve">0.89</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100/6/0/0.4</w:t>
            </w:r>
          </w:p>
        </w:tc>
        <w:tc>
          <w:tcPr>
            <w:tcBorders>
              <w:bottom w:val="single" w:sz="8" w:space="0" w:color="000000"/>
              <w:right w:val="single" w:sz="8" w:space="0" w:color="000000"/>
            </w:tcBorders>
            <w:vAlign w:val="top"/>
          </w:tcPr>
          <w:p>
            <w:pPr>
              <w:spacing w:lineRule="auto"/>
              <w:jc w:val="left"/>
            </w:pPr>
            <w:r>
              <w:rPr/>
              <w:t xml:space="preserve">0.94</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100/6/6/0.4</w:t>
            </w:r>
          </w:p>
        </w:tc>
        <w:tc>
          <w:tcPr>
            <w:tcBorders>
              <w:bottom w:val="single" w:sz="8" w:space="0" w:color="000000"/>
              <w:right w:val="single" w:sz="8" w:space="0" w:color="000000"/>
            </w:tcBorders>
            <w:vAlign w:val="top"/>
          </w:tcPr>
          <w:p>
            <w:pPr>
              <w:spacing w:lineRule="auto"/>
              <w:jc w:val="left"/>
            </w:pPr>
            <w:r>
              <w:rPr/>
              <w:t xml:space="preserve">1.51</w:t>
            </w:r>
          </w:p>
        </w:tc>
      </w:tr>
    </w:tbl>
    <w:p>
      <w:pPr>
        <w:spacing w:lineRule="auto"/>
      </w:pPr>
    </w:p>
    <w:p>
      <w:pPr>
        <w:spacing w:after="220" w:lineRule="auto"/>
      </w:pPr>
      <w:r>
        <w:rPr/>
        <w:t xml:space="preserve">PP: polypropylene; MAH: maleic anhydride; St: styrene; DCP: dicumyl peroxide.</w:t>
      </w:r>
    </w:p>
    <w:p>
      <w:pPr>
        <w:spacing w:lineRule="auto"/>
        <w:jc w:val="center"/>
      </w:pPr>
      <w:r>
        <w:rPr/>
        <w:drawing>
          <wp:inline distB="0" distL="0" distR="0" distT="0">
            <wp:extent cx="5486400" cy="3573379"/>
            <wp:effectExtent b="0" l="0" r="0" t="0"/>
            <wp:docPr id="1" name="image-b783bb1fbc8dcbba7f7264d586b653b78624bc52.jpg"/>
            <a:graphic>
              <a:graphicData uri="http://schemas.openxmlformats.org/drawingml/2006/picture">
                <pic:pic>
                  <pic:nvPicPr>
                    <pic:cNvPr id="1" name="image-b783bb1fbc8dcbba7f7264d586b653b78624bc52.jpg" descr=""/>
                    <pic:cNvPicPr/>
                  </pic:nvPicPr>
                  <pic:blipFill>
                    <a:blip r:embed="rId5" cstate="print"/>
                    <a:srcRect b="0" l="0" r="0" t="0"/>
                    <a:stretch>
                      <a:fillRect/>
                    </a:stretch>
                  </pic:blipFill>
                  <pic:spPr>
                    <a:xfrm>
                      <a:off x="0" y="0"/>
                      <a:ext cx="5486400" cy="3573379"/>
                    </a:xfrm>
                    <a:prstGeom prst="rect"/>
                  </pic:spPr>
                </pic:pic>
              </a:graphicData>
            </a:graphic>
          </wp:inline>
        </w:drawing>
      </w:r>
    </w:p>
    <w:p>
      <w:pPr>
        <w:spacing w:lineRule="auto"/>
      </w:pPr>
      <w:r>
        <w:rPr/>
        <w:t xml:space="preserve">Figure I. FT-IR spectra of PP-g-(MAH-co-St) </w:t>
      </w:r>
      <m:oMath>
        <m:d>
          <m:dPr>
            <m:begChr m:val="("/>
            <m:endChr m:val=")"/>
            <m:ctrlPr>
              <w:rPr>
                <w:rFonts w:ascii="Cambria Math" w:hAnsi="Cambria Math"/>
              </w:rPr>
            </m:ctrlPr>
          </m:dPr>
          <m:e>
            <m:sSub>
              <m:sSubPr/>
              <m:e>
                <m:r>
                  <m:rPr>
                    <m:sty m:val="i"/>
                  </m:rPr>
                  <m:t>G</m:t>
                </m:r>
              </m:e>
              <m:sub>
                <m:r>
                  <m:rPr>
                    <m:nor/>
                  </m:rPr>
                  <m:t>MAH </m:t>
                </m:r>
              </m:sub>
            </m:sSub>
            <m:r>
              <m:rPr>
                <m:sty m:val="p"/>
              </m:rPr>
              <m:t>=</m:t>
            </m:r>
            <m:r>
              <m:rPr>
                <m:sty m:val="p"/>
              </m:rPr>
              <m:t>0.89</m:t>
            </m:r>
            <m:r>
              <m:rPr>
                <m:sty m:val="p"/>
              </m:rPr>
              <m:t>%</m:t>
            </m:r>
          </m:e>
        </m:d>
      </m:oMath>
      <w:r>
        <w:rPr/>
        <w:t xml:space="preserve"> and PP.</w:t>
      </w:r>
    </w:p>
    <w:p>
      <w:pPr>
        <w:spacing w:after="220" w:lineRule="auto"/>
      </w:pPr>
      <w:r>
        <w:rPr/>
        <w:t xml:space="preserve">initiator content is low. These results indicate that different raw material ratios could yield different results.</w:t>
      </w:r>
    </w:p>
    <w:p>
      <w:pPr>
        <w:spacing w:after="220" w:lineRule="auto"/>
      </w:pPr>
      <w:r>
        <w:rPr/>
        <w:t xml:space="preserve">The grafting reaction of PP with MAH and St was confirmed by the FT-IR spectra. The FT-IR spectra of pure PP- </w:t>
      </w:r>
      <m:oMath>
        <m:r>
          <m:rPr>
            <m:sty m:val="i"/>
          </m:rPr>
          <m:t>g</m:t>
        </m:r>
        <m:r>
          <m:rPr>
            <m:sty m:val="p"/>
          </m:rPr>
          <m:t>−</m:t>
        </m:r>
        <m:r>
          <m:rPr>
            <m:sty m:val="p"/>
          </m:rPr>
          <m:t>(</m:t>
        </m:r>
        <m:r>
          <m:rPr>
            <m:sty m:val="i"/>
          </m:rPr>
          <m:t>M</m:t>
        </m:r>
        <m:r>
          <m:rPr>
            <m:sty m:val="i"/>
          </m:rPr>
          <m:t>A</m:t>
        </m:r>
        <m:r>
          <m:rPr>
            <m:sty m:val="i"/>
          </m:rPr>
          <m:t>H</m:t>
        </m:r>
        <m:r>
          <m:rPr>
            <m:sty m:val="p"/>
          </m:rPr>
          <m:t>−</m:t>
        </m:r>
        <m:r>
          <m:rPr>
            <m:sty m:val="i"/>
          </m:rPr>
          <m:t>c</m:t>
        </m:r>
        <m:r>
          <m:rPr>
            <m:sty m:val="i"/>
          </m:rPr>
          <m:t>o</m:t>
        </m:r>
        <m:r>
          <m:rPr>
            <m:sty m:val="p"/>
          </m:rPr>
          <m:t>−</m:t>
        </m:r>
        <m:r>
          <m:rPr>
            <m:sty m:val="i"/>
          </m:rPr>
          <m:t>S</m:t>
        </m:r>
        <m:r>
          <m:rPr>
            <m:sty m:val="i"/>
          </m:rPr>
          <m:t>t</m:t>
        </m:r>
        <m:r>
          <m:rPr>
            <m:sty m:val="p"/>
          </m:rPr>
          <m:t>)</m:t>
        </m:r>
        <m:d>
          <m:dPr>
            <m:begChr m:val="("/>
            <m:endChr m:val=")"/>
            <m:ctrlPr>
              <w:rPr>
                <w:rFonts w:ascii="Cambria Math" w:hAnsi="Cambria Math"/>
              </w:rPr>
            </m:ctrlPr>
          </m:dPr>
          <m:e>
            <m:sSub>
              <m:sSubPr/>
              <m:e>
                <m:r>
                  <m:rPr>
                    <m:sty m:val="i"/>
                  </m:rPr>
                  <m:t>G</m:t>
                </m:r>
              </m:e>
              <m:sub>
                <m:r>
                  <m:rPr>
                    <m:nor/>
                  </m:rPr>
                  <m:t>MAH </m:t>
                </m:r>
              </m:sub>
            </m:sSub>
            <m:r>
              <m:rPr>
                <m:sty m:val="p"/>
              </m:rPr>
              <m:t>=</m:t>
            </m:r>
            <m:r>
              <m:rPr>
                <m:sty m:val="p"/>
              </m:rPr>
              <m:t>0.89</m:t>
            </m:r>
            <m:r>
              <m:rPr>
                <m:sty m:val="p"/>
              </m:rPr>
              <m:t>%</m:t>
            </m:r>
          </m:e>
        </m:d>
      </m:oMath>
      <w:r>
        <w:rPr/>
        <w:t xml:space="preserve"> and PP are shown in Figure 1. As a cyclic anhydride, MAH showed an asymmetrical stretching vibration peak of carbonyl at about </w:t>
      </w:r>
      <m:oMath>
        <m:r>
          <m:rPr>
            <m:sty m:val="p"/>
          </m:rPr>
          <m:t>1800</m:t>
        </m:r>
        <m:sSup>
          <m:sSupPr/>
          <m:e>
            <m:r>
              <m:rPr>
                <m:nor/>
              </m:rPr>
              <m:t xml:space="preserve"> </m:t>
            </m:r>
            <m:r>
              <m:rPr>
                <m:sty m:val="p"/>
              </m:rPr>
              <m:t>cm</m:t>
            </m:r>
          </m:e>
          <m:sup>
            <m:r>
              <m:rPr>
                <m:sty m:val="p"/>
              </m:rPr>
              <m:t>−</m:t>
            </m:r>
            <m:r>
              <m:rPr>
                <m:sty m:val="p"/>
              </m:rPr>
              <m:t>1</m:t>
            </m:r>
          </m:sup>
        </m:sSup>
      </m:oMath>
      <w:r>
        <w:rPr/>
        <w:t xml:space="preserve"> and a symmetrical stretching vibration peak at about </w:t>
      </w:r>
      <m:oMath>
        <m:r>
          <m:rPr>
            <m:sty m:val="p"/>
          </m:rPr>
          <m:t>1750</m:t>
        </m:r>
        <m:sSup>
          <m:sSupPr/>
          <m:e>
            <m:r>
              <m:rPr>
                <m:nor/>
              </m:rPr>
              <m:t xml:space="preserve"> </m:t>
            </m:r>
            <m:r>
              <m:rPr>
                <m:sty m:val="p"/>
              </m:rPr>
              <m:t>cm</m:t>
            </m:r>
          </m:e>
          <m:sup>
            <m:r>
              <m:rPr>
                <m:sty m:val="p"/>
              </m:rPr>
              <m:t>−</m:t>
            </m:r>
            <m:r>
              <m:rPr>
                <m:sty m:val="p"/>
              </m:rPr>
              <m:t>1</m:t>
            </m:r>
          </m:sup>
        </m:sSup>
        <m:r>
          <m:rPr>
            <m:sty m:val="p"/>
          </m:rPr>
          <m:t>.</m:t>
        </m:r>
        <m:sSup>
          <m:sSupPr/>
          <m:e>
            <m:r>
              <m:t xml:space="preserve"> </m:t>
            </m:r>
          </m:e>
          <m:sup>
            <m:r>
              <m:rPr>
                <m:sty m:val="p"/>
              </m:rPr>
              <m:t>20</m:t>
            </m:r>
          </m:sup>
        </m:sSup>
      </m:oMath>
      <w:r>
        <w:rPr/>
        <w:t xml:space="preserve"> Characteristic peaks of MAH were clearly observed at 1782 and </w:t>
      </w:r>
      <m:oMath>
        <m:r>
          <m:rPr>
            <m:sty m:val="p"/>
          </m:rPr>
          <m:t>1856</m:t>
        </m:r>
        <m:sSup>
          <m:sSupPr/>
          <m:e>
            <m:r>
              <m:rPr>
                <m:nor/>
              </m:rPr>
              <m:t xml:space="preserve"> </m:t>
            </m:r>
            <m:r>
              <m:rPr>
                <m:sty m:val="p"/>
              </m:rPr>
              <m:t>cm</m:t>
            </m:r>
          </m:e>
          <m:sup>
            <m:r>
              <m:rPr>
                <m:sty m:val="p"/>
              </m:rPr>
              <m:t>−</m:t>
            </m:r>
            <m:r>
              <m:rPr>
                <m:sty m:val="p"/>
              </m:rPr>
              <m:t>1</m:t>
            </m:r>
          </m:sup>
        </m:sSup>
      </m:oMath>
      <w:r>
        <w:rPr/>
        <w:t xml:space="preserve">. The characteristic peak of St was clearly observed at </w:t>
      </w:r>
      <m:oMath>
        <m:r>
          <m:rPr>
            <m:sty m:val="p"/>
          </m:rPr>
          <m:t>703</m:t>
        </m:r>
        <m:sSup>
          <m:sSupPr/>
          <m:e>
            <m:r>
              <m:rPr>
                <m:nor/>
              </m:rPr>
              <m:t xml:space="preserve"> </m:t>
            </m:r>
            <m:r>
              <m:rPr>
                <m:sty m:val="p"/>
              </m:rPr>
              <m:t>cm</m:t>
            </m:r>
          </m:e>
          <m:sup>
            <m:r>
              <m:rPr>
                <m:sty m:val="p"/>
              </m:rPr>
              <m:t>−</m:t>
            </m:r>
            <m:r>
              <m:rPr>
                <m:sty m:val="p"/>
              </m:rPr>
              <m:t>1</m:t>
            </m:r>
          </m:sup>
        </m:sSup>
      </m:oMath>
      <w:r>
        <w:rPr/>
        <w:t xml:space="preserve">. These results indicate that MAH and St were successfully grafted onto the main chains of PP.</w:t>
      </w:r>
    </w:p>
    <w:p>
      <w:pPr>
        <w:spacing w:line="271" w:before="330" w:lineRule="auto"/>
      </w:pPr>
      <w:bookmarkStart w:id="8" w:name="scanning_electron_microscopy_analysis"/>
      <w:r>
        <w:rPr>
          <w:b/>
          <w:sz w:val="42"/>
        </w:rPr>
        <w:t xml:space="preserve">Scanning electron microscopy analysis</w:t>
      </w:r>
      <w:bookmarkEnd w:id="8"/>
    </w:p>
    <w:p>
      <w:pPr>
        <w:spacing w:after="220" w:lineRule="auto"/>
      </w:pPr>
      <w:r>
        <w:rPr/>
        <w:t xml:space="preserve">Compatibility between PP meltblown nonwoven fabric slices and PPC is difficult to achieve without incorporation of a proper compatibilizer because the former is a nonpolar polymer, whereas the latter is a relatively polar polymer. The effect of PP- </w:t>
      </w:r>
      <m:oMath>
        <m:r>
          <m:rPr>
            <m:sty m:val="i"/>
          </m:rPr>
          <m:t>g</m:t>
        </m:r>
      </m:oMath>
      <w:r>
        <w:rPr/>
        <w:t xml:space="preserve">-(MAH-co-St) on PPC/PP slices was investigated by scanning electron microscopy (SEM). SEM micrographs of PPC/PP slices are shown in Figure 2. Slices to which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had been added were smoother and showed fewer depressions and cavities than PPC/PP (80/20) slices without PP-g-(MAH-co-St). PP in the form of ball dispersed more uniformly in the PPC matrix when the content and grafting proportion of PP- </w:t>
      </w:r>
      <m:oMath>
        <m:r>
          <m:rPr>
            <m:sty m:val="i"/>
          </m:rPr>
          <m:t>g</m:t>
        </m:r>
      </m:oMath>
      <w:r>
        <w:rPr/>
        <w:t xml:space="preserve"> (MAH-co-St) were increased. This result clearly demonstrates that the compatibility between polymers can be improved by the addition of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w:t>
      </w:r>
    </w:p>
    <w:p>
      <w:pPr>
        <w:spacing w:line="271" w:before="330" w:lineRule="auto"/>
      </w:pPr>
      <w:bookmarkStart w:id="9" w:name="tensile_properties_and_mfr_of_ppc_abe74f"/>
      <w:r>
        <w:rPr>
          <w:b/>
          <w:sz w:val="42"/>
        </w:rPr>
        <w:t xml:space="preserve">Tensile properties and MFR of PPC/PP slices</w:t>
      </w:r>
      <w:bookmarkEnd w:id="9"/>
    </w:p>
    <w:p>
      <w:pPr>
        <w:spacing w:after="220" w:lineRule="auto"/>
      </w:pPr>
      <w:r>
        <w:rPr/>
        <w:t xml:space="preserve">The tensile properties of PPC/PP slices are shown in Figure 3. The tensile strength reached 16.64 MPa when the content of PP- </w:t>
      </w:r>
      <m:oMath>
        <m:r>
          <m:rPr>
            <m:sty m:val="i"/>
          </m:rPr>
          <m:t>g</m:t>
        </m:r>
      </m:oMath>
      <w:r>
        <w:rPr/>
        <w:t xml:space="preserve">-(MAH-co-St) </w:t>
      </w:r>
      <m:oMath>
        <m:d>
          <m:dPr>
            <m:begChr m:val="("/>
            <m:endChr m:val=")"/>
            <m:ctrlPr>
              <w:rPr>
                <w:rFonts w:ascii="Cambria Math" w:hAnsi="Cambria Math"/>
              </w:rPr>
            </m:ctrlPr>
          </m:dPr>
          <m:e>
            <m:sSub>
              <m:sSubPr/>
              <m:e>
                <m:r>
                  <m:rPr>
                    <m:sty m:val="i"/>
                  </m:rPr>
                  <m:t>G</m:t>
                </m:r>
              </m:e>
              <m:sub>
                <m:r>
                  <m:rPr>
                    <m:nor/>
                  </m:rPr>
                  <m:t>MAH </m:t>
                </m:r>
              </m:sub>
            </m:sSub>
            <m:r>
              <m:rPr>
                <m:sty m:val="p"/>
              </m:rPr>
              <m:t>=</m:t>
            </m:r>
            <m:r>
              <m:rPr>
                <m:sty m:val="p"/>
              </m:rPr>
              <m:t>1.51</m:t>
            </m:r>
            <m:r>
              <m:rPr>
                <m:sty m:val="p"/>
              </m:rPr>
              <m:t>%</m:t>
            </m:r>
          </m:e>
        </m:d>
      </m:oMath>
      <w:r>
        <w:rPr/>
        <w:t xml:space="preserve"> was 8%, and then decreased with further increases in PP- </w:t>
      </w:r>
      <m:oMath>
        <m:r>
          <m:rPr>
            <m:sty m:val="i"/>
          </m:rPr>
          <m:t>g</m:t>
        </m:r>
      </m:oMath>
      <w:r>
        <w:rPr/>
        <w:t xml:space="preserve">-(MAHco-St). Also, the tensile strength of PPC/PP slices was higher at higher grafting proportions of PP- </w:t>
      </w:r>
      <m:oMath>
        <m:r>
          <m:rPr>
            <m:sty m:val="i"/>
          </m:rPr>
          <m:t>g</m:t>
        </m:r>
      </m:oMath>
      <w:r>
        <w:rPr/>
        <w:t xml:space="preserve">-(MAHco-St) than lower ones. The effect of the grafting proportion of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on the tensile strength of PPC/ PP slices was not obvious when the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content was low. With the increase in the content and grafting rate of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the elongation at break of PPC/PP slices was decreased, because the MAH grafted on the chain of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promoted the reaction of PPC with PP- </w:t>
      </w:r>
      <m:oMath>
        <m:r>
          <m:rPr>
            <m:sty m:val="i"/>
          </m:rPr>
          <m:t>g</m:t>
        </m:r>
      </m:oMath>
      <w:r>
        <w:rPr/>
        <w:t xml:space="preserve">-(MAH-co-St), improved the interfacial adhesion strength of PPC with PP, and hence the elongation at break of PPC/PP slices was decreased. Furthermore, PP- </w:t>
      </w:r>
      <m:oMath>
        <m:r>
          <m:rPr>
            <m:sty m:val="i"/>
          </m:rPr>
          <m:t>g</m:t>
        </m:r>
      </m:oMath>
      <w:r>
        <w:rPr/>
        <w:t xml:space="preserve">-(MAH-co-St) had a main chain of PP, its crystallization was similar to the rigid material PP, and the addition of PP- </w:t>
      </w:r>
      <m:oMath>
        <m:r>
          <m:rPr>
            <m:sty m:val="i"/>
          </m:rPr>
          <m:t>g</m:t>
        </m:r>
      </m:oMath>
      <w:r>
        <w:rPr/>
        <w:t xml:space="preserve">-(MAH-co-St) promoted the crystallinity of PPC/ PP. Hence, the flexibility was reduced, and the elongation at break of PPC/PP slices was reduced by adding PP-g-(MAH-co-St).</w:t>
      </w:r>
    </w:p>
    <w:p>
      <w:pPr>
        <w:spacing w:after="220" w:lineRule="auto"/>
      </w:pPr>
      <w:r>
        <w:rPr/>
        <w:t xml:space="preserve">MFRs of the PPC/PP slices with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are shown in Figure 4. The MFR of the PPC/PP slices decreased when the content and grafting proportion of PP-g-(MAH-co-St) were increased. The minimum MFR was observed at a PP- </w:t>
      </w:r>
      <m:oMath>
        <m:r>
          <m:rPr>
            <m:sty m:val="i"/>
          </m:rPr>
          <m:t>g</m:t>
        </m:r>
      </m:oMath>
      <w:r>
        <w:rPr/>
        <w:t xml:space="preserve">-(MAH-co-St) </w:t>
      </w:r>
      <m:oMath>
        <m:sSub>
          <m:sSubPr/>
          <m:e>
            <m:r>
              <m:rPr>
                <m:sty m:val="i"/>
              </m:rPr>
              <m:t>G</m:t>
            </m:r>
          </m:e>
          <m:sub>
            <m:r>
              <m:rPr>
                <m:nor/>
              </m:rPr>
              <m:t>MAH </m:t>
            </m:r>
          </m:sub>
        </m:sSub>
      </m:oMath>
      <w:r>
        <w:rPr/>
        <w:t xml:space="preserve"> of 1.51%. Changes in the MFR of the PPC/PP slices were not obvious when the PP- </w:t>
      </w:r>
      <m:oMath>
        <m:r>
          <m:rPr>
            <m:sty m:val="i"/>
          </m:rPr>
          <m:t>g</m:t>
        </m:r>
      </m:oMath>
      <w:r>
        <w:rPr/>
        <w:t xml:space="preserve">-(MAH- </w:t>
      </w:r>
      <m:oMath>
        <m:r>
          <m:rPr>
            <m:sty m:val="i"/>
          </m:rPr>
          <m:t>c</m:t>
        </m:r>
        <m:r>
          <m:rPr>
            <m:sty m:val="i"/>
          </m:rPr>
          <m:t>o</m:t>
        </m:r>
      </m:oMath>
      <w:r>
        <w:rPr/>
        <w:t xml:space="preserve">-St) content was higher than 8%. These results indicate that addition of PP- </w:t>
      </w:r>
      <m:oMath>
        <m:r>
          <m:rPr>
            <m:sty m:val="i"/>
          </m:rPr>
          <m:t>g</m:t>
        </m:r>
      </m:oMath>
      <w:r>
        <w:rPr/>
        <w:t xml:space="preserve">-(MAHco-St) could promote the compatibility, improve the interfacial adhesion strength, and inhibit the flowability between PPC and PP, consistent with the SEM and tensile strength analyses.</w:t>
      </w:r>
    </w:p>
    <w:p>
      <w:pPr>
        <w:spacing w:line="271" w:before="330" w:lineRule="auto"/>
      </w:pPr>
      <w:bookmarkStart w:id="10" w:name="thermal_properties"/>
      <w:r>
        <w:rPr>
          <w:b/>
          <w:sz w:val="42"/>
        </w:rPr>
        <w:t xml:space="preserve">Thermal properties</w:t>
      </w:r>
      <w:bookmarkEnd w:id="10"/>
    </w:p>
    <w:p>
      <w:pPr>
        <w:spacing w:after="220" w:lineRule="auto"/>
      </w:pPr>
      <w:r>
        <w:rPr/>
        <w:t xml:space="preserve">The DSC curves of PPC/PP-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r>
          <m:rPr>
            <m:sty m:val="p"/>
          </m:rPr>
          <m:t>/</m:t>
        </m:r>
        <m:r>
          <m:rPr>
            <m:sty m:val="p"/>
          </m:rPr>
          <m:t>PP</m:t>
        </m:r>
      </m:oMath>
      <w:r>
        <w:rPr/>
        <w:t xml:space="preserve"> slices are shown in Figure 5, and data of </w:t>
      </w:r>
      <m:oMath>
        <m:sSub>
          <m:sSubPr/>
          <m:e>
            <m:r>
              <m:rPr>
                <m:sty m:val="i"/>
              </m:rPr>
              <m:t>T</m:t>
            </m:r>
          </m:e>
          <m:sub>
            <m:r>
              <m:rPr>
                <m:sty m:val="p"/>
              </m:rPr>
              <m:t>m</m:t>
            </m:r>
          </m:sub>
        </m:sSub>
      </m:oMath>
      <w:r>
        <w:rPr/>
        <w:t xml:space="preserve"> and </w:t>
      </w:r>
      <m:oMath>
        <m:sSub>
          <m:sSubPr/>
          <m:e>
            <m:r>
              <m:rPr>
                <m:sty m:val="i"/>
              </m:rPr>
              <m:t>T</m:t>
            </m:r>
          </m:e>
          <m:sub>
            <m:r>
              <m:rPr>
                <m:sty m:val="p"/>
              </m:rPr>
              <m:t>g</m:t>
            </m:r>
          </m:sub>
        </m:sSub>
      </m:oMath>
      <w:r>
        <w:rPr/>
        <w:t xml:space="preserve"> are shown in Table 2. The </w:t>
      </w:r>
      <m:oMath>
        <m:sSub>
          <m:sSubPr/>
          <m:e>
            <m:r>
              <m:rPr>
                <m:sty m:val="i"/>
              </m:rPr>
              <m:t>T</m:t>
            </m:r>
          </m:e>
          <m:sub>
            <m:r>
              <m:rPr>
                <m:sty m:val="p"/>
              </m:rPr>
              <m:t>m</m:t>
            </m:r>
          </m:sub>
        </m:sSub>
      </m:oMath>
      <w:r>
        <w:rPr/>
        <w:t xml:space="preserve"> of the PPC/PP slices did not change after the addition of PP- </w:t>
      </w:r>
      <m:oMath>
        <m:r>
          <m:rPr>
            <m:sty m:val="i"/>
          </m:rPr>
          <m:t>g</m:t>
        </m:r>
      </m:oMath>
      <w:r>
        <w:rPr/>
        <w:t xml:space="preserve">-(MAH-co-St). The </w:t>
      </w:r>
      <m:oMath>
        <m:sSub>
          <m:sSubPr/>
          <m:e>
            <m:r>
              <m:rPr>
                <m:sty m:val="i"/>
              </m:rPr>
              <m:t>T</m:t>
            </m:r>
          </m:e>
          <m:sub>
            <m:r>
              <m:rPr>
                <m:sty m:val="p"/>
              </m:rPr>
              <m:t>g</m:t>
            </m:r>
          </m:sub>
        </m:sSub>
      </m:oMath>
      <w:r>
        <w:rPr/>
        <w:t xml:space="preserve"> of the PPC/PP slices after the addition of PP- </w:t>
      </w:r>
      <m:oMath>
        <m:r>
          <m:rPr>
            <m:sty m:val="i"/>
          </m:rPr>
          <m:t>g</m:t>
        </m:r>
      </m:oMath>
      <w:r>
        <w:rPr/>
        <w:t xml:space="preserve">-(MAH-co-St) is between </w:t>
      </w:r>
      <m:oMath>
        <m:sSup>
          <m:sSupPr/>
          <m:e>
            <m:r>
              <m:rPr>
                <m:sty m:val="p"/>
              </m:rPr>
              <m:t>24.2</m:t>
            </m:r>
          </m:e>
          <m:sup>
            <m:r>
              <m:rPr>
                <m:sty m:val="p"/>
              </m:rPr>
              <m:t>∘</m:t>
            </m:r>
          </m:sup>
        </m:sSup>
        <m:r>
          <m:rPr>
            <m:sty m:val="p"/>
          </m:rPr>
          <m:t>C</m:t>
        </m:r>
      </m:oMath>
      <w:r>
        <w:rPr/>
        <w:t xml:space="preserve"> and </w:t>
      </w:r>
      <m:oMath>
        <m:sSup>
          <m:sSupPr/>
          <m:e>
            <m:r>
              <m:rPr>
                <m:sty m:val="p"/>
              </m:rPr>
              <m:t>28.0</m:t>
            </m:r>
          </m:e>
          <m:sup>
            <m:r>
              <m:rPr>
                <m:sty m:val="p"/>
              </m:rPr>
              <m:t>∘</m:t>
            </m:r>
          </m:sup>
        </m:sSup>
        <m:r>
          <m:rPr>
            <m:sty m:val="p"/>
          </m:rPr>
          <m:t>C</m:t>
        </m:r>
      </m:oMath>
      <w:r>
        <w:rPr/>
        <w:t xml:space="preserve">. The </w:t>
      </w:r>
      <m:oMath>
        <m:sSub>
          <m:sSubPr/>
          <m:e>
            <m:r>
              <m:rPr>
                <m:sty m:val="i"/>
              </m:rPr>
              <m:t>T</m:t>
            </m:r>
          </m:e>
          <m:sub>
            <m:r>
              <m:rPr>
                <m:sty m:val="p"/>
              </m:rPr>
              <m:t>g</m:t>
            </m:r>
          </m:sub>
        </m:sSub>
      </m:oMath>
      <w:r>
        <w:rPr/>
        <w:t xml:space="preserve"> of the PPC/PP slices decreased when the content and grafting proportion of PP- </w:t>
      </w:r>
      <m:oMath>
        <m:r>
          <m:rPr>
            <m:sty m:val="i"/>
          </m:rPr>
          <m:t>g</m:t>
        </m:r>
      </m:oMath>
      <w:r>
        <w:rPr/>
        <w:t xml:space="preserve">-(MAH</w:t>
      </w:r>
      <m:oMath>
        <m:r>
          <m:rPr>
            <m:sty m:val="i"/>
          </m:rPr>
          <m:t>c</m:t>
        </m:r>
        <m:r>
          <m:rPr>
            <m:sty m:val="i"/>
          </m:rPr>
          <m:t>o</m:t>
        </m:r>
        <m:r>
          <m:rPr>
            <m:sty m:val="p"/>
          </m:rPr>
          <m:t>−</m:t>
        </m:r>
        <m:r>
          <m:rPr>
            <m:sty m:val="p"/>
          </m:rPr>
          <m:t>St</m:t>
        </m:r>
      </m:oMath>
      <w:r>
        <w:rPr/>
        <w:t xml:space="preserve"> ) were increased and tended to </w:t>
      </w:r>
      <m:oMath>
        <m:sSub>
          <m:sSubPr/>
          <m:e>
            <m:r>
              <m:rPr>
                <m:sty m:val="i"/>
              </m:rPr>
              <m:t>T</m:t>
            </m:r>
          </m:e>
          <m:sub>
            <m:r>
              <m:rPr>
                <m:sty m:val="p"/>
              </m:rPr>
              <m:t>g</m:t>
            </m:r>
          </m:sub>
        </m:sSub>
      </m:oMath>
      <w:r>
        <w:rPr/>
        <w:t xml:space="preserve"> between PPC and PP. </w:t>
      </w:r>
      <m:oMath>
        <m:sSup>
          <m:sSupPr/>
          <m:e>
            <m:r>
              <m:t xml:space="preserve"> </m:t>
            </m:r>
          </m:e>
          <m:sup>
            <m:r>
              <m:rPr>
                <m:sty m:val="p"/>
              </m:rPr>
              <m:t>21</m:t>
            </m:r>
          </m:sup>
        </m:sSup>
      </m:oMath>
      <w:r>
        <w:rPr/>
        <w:t xml:space="preserve"> The crystallinity of PPC/PP slices is improved with the increase in the grafting proportion and content of PP- </w:t>
      </w:r>
      <m:oMath>
        <m:r>
          <m:rPr>
            <m:sty m:val="i"/>
          </m:rPr>
          <m:t>g</m:t>
        </m:r>
      </m:oMath>
      <w:r>
        <w:rPr/>
        <w:t xml:space="preserve">-(MAH-co-St). These findings confirm that the</w:t>
      </w:r>
    </w:p>
    <w:p>
      <w:pPr>
        <w:spacing w:lineRule="auto"/>
        <w:jc w:val="center"/>
      </w:pPr>
      <w:r>
        <w:rPr/>
        <w:drawing>
          <wp:inline distB="0" distL="0" distR="0" distT="0">
            <wp:extent cx="5486400" cy="6393116"/>
            <wp:effectExtent b="0" l="0" r="0" t="0"/>
            <wp:docPr id="2" name="image-b15bc2c32d25f6b91aef5243db614ece8e25b55d.jpg"/>
            <a:graphic>
              <a:graphicData uri="http://schemas.openxmlformats.org/drawingml/2006/picture">
                <pic:pic>
                  <pic:nvPicPr>
                    <pic:cNvPr id="2" name="image-b15bc2c32d25f6b91aef5243db614ece8e25b55d.jpg" descr=""/>
                    <pic:cNvPicPr/>
                  </pic:nvPicPr>
                  <pic:blipFill>
                    <a:blip r:embed="rId6" cstate="print"/>
                    <a:srcRect b="0" l="0" r="0" t="0"/>
                    <a:stretch>
                      <a:fillRect/>
                    </a:stretch>
                  </pic:blipFill>
                  <pic:spPr>
                    <a:xfrm>
                      <a:off x="0" y="0"/>
                      <a:ext cx="5486400" cy="6393116"/>
                    </a:xfrm>
                    <a:prstGeom prst="rect"/>
                  </pic:spPr>
                </pic:pic>
              </a:graphicData>
            </a:graphic>
          </wp:inline>
        </w:drawing>
      </w:r>
    </w:p>
    <w:p>
      <w:pPr>
        <w:spacing w:lineRule="auto"/>
      </w:pPr>
      <w:r>
        <w:rPr/>
        <w:t xml:space="preserve">Figure 2. SEM micrographs of PPC/PP slices: (a) PPC/PP (80/20) at </w:t>
      </w:r>
      <m:oMath>
        <m:r>
          <m:rPr>
            <m:sty m:val="p"/>
          </m:rPr>
          <m:t>1000</m:t>
        </m:r>
        <m:r>
          <m:rPr>
            <m:sty m:val="p"/>
          </m:rPr>
          <m:t>×</m:t>
        </m:r>
      </m:oMath>
      <w:r>
        <w:rPr>
          <w:rFonts w:eastAsia="Georgia" w:cs="Georgia" w:ascii="Georgia" w:hAnsi="Georgia"/>
        </w:rPr>
        <w:t xml:space="preserve"> magnification, (b) PPC/PP (80/20) at 2000× magnification, (c) PPC/PP-g-(MAH-co-St) </w:t>
      </w:r>
      <m:oMath>
        <m:d>
          <m:dPr>
            <m:begChr m:val="("/>
            <m:endChr m:val=")"/>
            <m:ctrlPr>
              <w:rPr>
                <w:rFonts w:ascii="Cambria Math" w:hAnsi="Cambria Math"/>
              </w:rPr>
            </m:ctrlPr>
          </m:dPr>
          <m:e>
            <m:sSub>
              <m:sSubPr/>
              <m:e>
                <m:r>
                  <m:rPr>
                    <m:sty m:val="i"/>
                  </m:rPr>
                  <m:t>G</m:t>
                </m:r>
              </m:e>
              <m:sub>
                <m:r>
                  <m:rPr>
                    <m:nor/>
                  </m:rPr>
                  <m:t>MAH </m:t>
                </m:r>
              </m:sub>
            </m:sSub>
            <m:r>
              <m:rPr>
                <m:sty m:val="p"/>
              </m:rPr>
              <m:t>=</m:t>
            </m:r>
            <m:r>
              <m:rPr>
                <m:sty m:val="p"/>
              </m:rPr>
              <m:t>0.94</m:t>
            </m:r>
            <m:r>
              <m:rPr>
                <m:sty m:val="p"/>
              </m:rPr>
              <m:t>%</m:t>
            </m:r>
          </m:e>
        </m:d>
        <m:r>
          <m:rPr>
            <m:sty m:val="p"/>
          </m:rPr>
          <m:t>/</m:t>
        </m:r>
      </m:oMath>
      <w:r>
        <w:rPr/>
        <w:t xml:space="preserve"> PP </w:t>
      </w:r>
      <m:oMath>
        <m:r>
          <m:rPr>
            <m:sty m:val="p"/>
          </m:rPr>
          <m:t>(</m:t>
        </m:r>
        <m:r>
          <m:rPr>
            <m:sty m:val="p"/>
          </m:rPr>
          <m:t>80</m:t>
        </m:r>
        <m:r>
          <m:rPr>
            <m:sty m:val="p"/>
          </m:rPr>
          <m:t>/</m:t>
        </m:r>
        <m:r>
          <m:rPr>
            <m:sty m:val="p"/>
          </m:rPr>
          <m:t>2</m:t>
        </m:r>
        <m:r>
          <m:rPr>
            <m:sty m:val="p"/>
          </m:rPr>
          <m:t>/</m:t>
        </m:r>
        <m:r>
          <m:rPr>
            <m:sty m:val="p"/>
          </m:rPr>
          <m:t>20</m:t>
        </m:r>
        <m:r>
          <m:rPr>
            <m:sty m:val="p"/>
          </m:rPr>
          <m:t>)</m:t>
        </m:r>
      </m:oMath>
      <w:r>
        <w:rPr/>
        <w:t xml:space="preserve"> at </w:t>
      </w:r>
      <m:oMath>
        <m:r>
          <m:rPr>
            <m:sty m:val="p"/>
          </m:rPr>
          <m:t>1000</m:t>
        </m:r>
        <m:r>
          <m:rPr>
            <m:sty m:val="p"/>
          </m:rPr>
          <m:t>×</m:t>
        </m:r>
      </m:oMath>
      <w:r>
        <w:rPr/>
        <w:t xml:space="preserve"> magnification, </w:t>
      </w:r>
      <m:oMath>
        <m:r>
          <m:rPr>
            <m:sty m:val="p"/>
          </m:rPr>
          <m:t>(</m:t>
        </m:r>
        <m:r>
          <m:rPr>
            <m:sty m:val="i"/>
          </m:rPr>
          <m:t>d</m:t>
        </m:r>
        <m:r>
          <m:rPr>
            <m:sty m:val="p"/>
          </m:rPr>
          <m:t>)</m:t>
        </m:r>
      </m:oMath>
      <w:r>
        <w:rPr/>
        <w:t xml:space="preserve"> PPC/PP-g-(MAH-co-St) </w:t>
      </w:r>
      <m:oMath>
        <m:d>
          <m:dPr>
            <m:begChr m:val="("/>
            <m:endChr m:val=""/>
            <m:ctrlPr>
              <w:rPr>
                <w:rFonts w:ascii="Cambria Math" w:hAnsi="Cambria Math"/>
              </w:rPr>
            </m:ctrlPr>
          </m:dPr>
          <m:e>
            <m:sSub>
              <m:sSubPr/>
              <m:e>
                <m:r>
                  <m:rPr>
                    <m:sty m:val="i"/>
                  </m:rPr>
                  <m:t>G</m:t>
                </m:r>
              </m:e>
              <m:sub>
                <m:r>
                  <m:rPr>
                    <m:nor/>
                  </m:rPr>
                  <m:t>MAH </m:t>
                </m:r>
              </m:sub>
            </m:sSub>
            <m:r>
              <m:rPr>
                <m:sty m:val="p"/>
              </m:rPr>
              <m:t>=</m:t>
            </m:r>
          </m:e>
        </m:d>
      </m:oMath>
      <w:r>
        <w:rPr>
          <w:rFonts w:eastAsia="Georgia" w:cs="Georgia" w:ascii="Georgia" w:hAnsi="Georgia"/>
        </w:rPr>
        <w:t xml:space="preserve"> 0.94%)/PP (80/2/20) at 2000× magnification, (e) PPC/PP-g-(MAH-co-St) </w:t>
      </w:r>
      <m:oMath>
        <m:d>
          <m:dPr>
            <m:begChr m:val="("/>
            <m:endChr m:val=")"/>
            <m:ctrlPr>
              <w:rPr>
                <w:rFonts w:ascii="Cambria Math" w:hAnsi="Cambria Math"/>
              </w:rPr>
            </m:ctrlPr>
          </m:dPr>
          <m:e>
            <m:sSub>
              <m:sSubPr/>
              <m:e>
                <m:r>
                  <m:rPr>
                    <m:sty m:val="i"/>
                  </m:rPr>
                  <m:t>G</m:t>
                </m:r>
              </m:e>
              <m:sub>
                <m:r>
                  <m:rPr>
                    <m:nor/>
                  </m:rPr>
                  <m:t>MAH </m:t>
                </m:r>
              </m:sub>
            </m:sSub>
            <m:r>
              <m:rPr>
                <m:sty m:val="p"/>
              </m:rPr>
              <m:t>=</m:t>
            </m:r>
            <m:r>
              <m:rPr>
                <m:sty m:val="p"/>
              </m:rPr>
              <m:t>1.51</m:t>
            </m:r>
            <m:r>
              <m:rPr>
                <m:sty m:val="p"/>
              </m:rPr>
              <m:t>%</m:t>
            </m:r>
          </m:e>
        </m:d>
        <m:r>
          <m:rPr>
            <m:sty m:val="p"/>
          </m:rPr>
          <m:t>/</m:t>
        </m:r>
        <m:r>
          <m:rPr>
            <m:sty m:val="p"/>
          </m:rPr>
          <m:t>PP</m:t>
        </m:r>
        <m:r>
          <m:rPr>
            <m:sty m:val="p"/>
          </m:rPr>
          <m:t>(</m:t>
        </m:r>
        <m:r>
          <m:rPr>
            <m:sty m:val="p"/>
          </m:rPr>
          <m:t>80</m:t>
        </m:r>
        <m:r>
          <m:rPr>
            <m:sty m:val="p"/>
          </m:rPr>
          <m:t>/</m:t>
        </m:r>
        <m:r>
          <m:rPr>
            <m:sty m:val="p"/>
          </m:rPr>
          <m:t>8</m:t>
        </m:r>
        <m:r>
          <m:rPr>
            <m:sty m:val="p"/>
          </m:rPr>
          <m:t>/</m:t>
        </m:r>
        <m:r>
          <m:rPr>
            <m:sty m:val="p"/>
          </m:rPr>
          <m:t>20</m:t>
        </m:r>
        <m:r>
          <m:rPr>
            <m:sty m:val="p"/>
          </m:rPr>
          <m:t>)</m:t>
        </m:r>
      </m:oMath>
      <w:r>
        <w:rPr>
          <w:rFonts w:eastAsia="Georgia" w:cs="Georgia" w:ascii="Georgia" w:hAnsi="Georgia"/>
        </w:rPr>
        <w:t xml:space="preserve"> at 1000× magnification, and (f) PPC/PP-g-(MAH-co-St) </w:t>
      </w:r>
      <m:oMath>
        <m:d>
          <m:dPr>
            <m:begChr m:val="("/>
            <m:endChr m:val=")"/>
            <m:ctrlPr>
              <w:rPr>
                <w:rFonts w:ascii="Cambria Math" w:hAnsi="Cambria Math"/>
              </w:rPr>
            </m:ctrlPr>
          </m:dPr>
          <m:e>
            <m:sSub>
              <m:sSubPr/>
              <m:e>
                <m:r>
                  <m:rPr>
                    <m:sty m:val="i"/>
                  </m:rPr>
                  <m:t>G</m:t>
                </m:r>
              </m:e>
              <m:sub>
                <m:r>
                  <m:rPr>
                    <m:nor/>
                  </m:rPr>
                  <m:t>MAH </m:t>
                </m:r>
              </m:sub>
            </m:sSub>
            <m:r>
              <m:rPr>
                <m:sty m:val="p"/>
              </m:rPr>
              <m:t>=</m:t>
            </m:r>
            <m:r>
              <m:rPr>
                <m:sty m:val="p"/>
              </m:rPr>
              <m:t>1.51</m:t>
            </m:r>
            <m:r>
              <m:rPr>
                <m:sty m:val="p"/>
              </m:rPr>
              <m:t>%</m:t>
            </m:r>
          </m:e>
        </m:d>
        <m:r>
          <m:rPr>
            <m:sty m:val="p"/>
          </m:rPr>
          <m:t>/</m:t>
        </m:r>
        <m:r>
          <m:rPr>
            <m:sty m:val="i"/>
          </m:rPr>
          <m:t>P</m:t>
        </m:r>
        <m:r>
          <m:rPr>
            <m:sty m:val="i"/>
          </m:rPr>
          <m:t>P</m:t>
        </m:r>
        <m:r>
          <m:rPr>
            <m:sty m:val="p"/>
          </m:rPr>
          <m:t>(</m:t>
        </m:r>
        <m:r>
          <m:rPr>
            <m:sty m:val="p"/>
          </m:rPr>
          <m:t>80</m:t>
        </m:r>
        <m:r>
          <m:rPr>
            <m:sty m:val="p"/>
          </m:rPr>
          <m:t>/</m:t>
        </m:r>
        <m:r>
          <m:rPr>
            <m:sty m:val="p"/>
          </m:rPr>
          <m:t>8</m:t>
        </m:r>
        <m:r>
          <m:rPr>
            <m:sty m:val="p"/>
          </m:rPr>
          <m:t>/</m:t>
        </m:r>
        <m:r>
          <m:rPr>
            <m:sty m:val="p"/>
          </m:rPr>
          <m:t>20</m:t>
        </m:r>
        <m:r>
          <m:rPr>
            <m:sty m:val="p"/>
          </m:rPr>
          <m:t>)</m:t>
        </m:r>
      </m:oMath>
      <w:r>
        <w:rPr>
          <w:rFonts w:eastAsia="Georgia" w:cs="Georgia" w:ascii="Georgia" w:hAnsi="Georgia"/>
        </w:rPr>
        <w:t xml:space="preserve"> at 2000× magnification.</w:t>
      </w:r>
    </w:p>
    <w:p>
      <w:pPr>
        <w:spacing w:after="220" w:lineRule="auto"/>
      </w:pPr>
      <w:r>
        <w:rPr/>
        <w:t xml:space="preserve">compatibility of PPC/PP slices is improved by the addition of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w:t>
      </w:r>
    </w:p>
    <w:p>
      <w:pPr>
        <w:spacing w:after="220" w:lineRule="auto"/>
      </w:pPr>
      <w:r>
        <w:rPr/>
        <w:t xml:space="preserve">The TG and derivative thermogravimetry (DTG) curves of PPC, PP, and the PPC/PP slices are shown in Figure 6, and data of </w:t>
      </w:r>
      <m:oMath>
        <m:sSub>
          <m:sSubPr/>
          <m:e>
            <m:r>
              <m:rPr>
                <m:sty m:val="i"/>
              </m:rPr>
              <m:t>T</m:t>
            </m:r>
          </m:e>
          <m:sub>
            <m:r>
              <m:rPr>
                <m:sty m:val="p"/>
              </m:rPr>
              <m:t>−</m:t>
            </m:r>
            <m:r>
              <m:rPr>
                <m:sty m:val="p"/>
              </m:rPr>
              <m:t>5</m:t>
            </m:r>
            <m:r>
              <m:rPr>
                <m:sty m:val="p"/>
              </m:rPr>
              <m:t>%</m:t>
            </m:r>
          </m:sub>
        </m:sSub>
        <m:r>
          <m:rPr>
            <m:sty m:val="p"/>
          </m:rPr>
          <m:t>,</m:t>
        </m:r>
        <m:sSub>
          <m:sSubPr/>
          <m:e>
            <m:r>
              <m:rPr>
                <m:sty m:val="i"/>
              </m:rPr>
              <m:t>T</m:t>
            </m:r>
          </m:e>
          <m:sub>
            <m:r>
              <m:rPr>
                <m:sty m:val="p"/>
              </m:rPr>
              <m:t>−</m:t>
            </m:r>
            <m:r>
              <m:rPr>
                <m:sty m:val="p"/>
              </m:rPr>
              <m:t>50</m:t>
            </m:r>
            <m:r>
              <m:rPr>
                <m:sty m:val="p"/>
              </m:rPr>
              <m:t>%</m:t>
            </m:r>
          </m:sub>
        </m:sSub>
        <m:r>
          <m:rPr>
            <m:sty m:val="p"/>
          </m:rPr>
          <m:t>,</m:t>
        </m:r>
        <m:sSub>
          <m:sSubPr/>
          <m:e>
            <m:r>
              <m:rPr>
                <m:sty m:val="i"/>
              </m:rPr>
              <m:t>T</m:t>
            </m:r>
          </m:e>
          <m:sub>
            <m:r>
              <m:rPr>
                <m:sty m:val="p"/>
              </m:rPr>
              <m:t>−</m:t>
            </m:r>
            <m:r>
              <m:rPr>
                <m:sty m:val="p"/>
              </m:rPr>
              <m:t>95</m:t>
            </m:r>
            <m:r>
              <m:rPr>
                <m:sty m:val="p"/>
              </m:rPr>
              <m:t>%</m:t>
            </m:r>
          </m:sub>
        </m:sSub>
      </m:oMath>
      <w:r>
        <w:rPr/>
        <w:t xml:space="preserve">, and </w:t>
      </w:r>
      <m:oMath>
        <m:sSub>
          <m:sSubPr/>
          <m:e>
            <m:r>
              <m:rPr>
                <m:sty m:val="i"/>
              </m:rPr>
              <m:t>T</m:t>
            </m:r>
          </m:e>
          <m:sub>
            <m:r>
              <m:rPr>
                <m:sty m:val="p"/>
              </m:rPr>
              <m:t>p</m:t>
            </m:r>
          </m:sub>
        </m:sSub>
      </m:oMath>
      <w:r>
        <w:rPr/>
        <w:t xml:space="preserve"> are shown in Table 2. The </w:t>
      </w:r>
      <m:oMath>
        <m:sSub>
          <m:sSubPr/>
          <m:e>
            <m:r>
              <m:rPr>
                <m:sty m:val="i"/>
              </m:rPr>
              <m:t>T</m:t>
            </m:r>
          </m:e>
          <m:sub>
            <m:r>
              <m:rPr>
                <m:sty m:val="p"/>
              </m:rPr>
              <m:t>−</m:t>
            </m:r>
            <m:r>
              <m:rPr>
                <m:sty m:val="p"/>
              </m:rPr>
              <m:t>5</m:t>
            </m:r>
            <m:r>
              <m:rPr>
                <m:sty m:val="p"/>
              </m:rPr>
              <m:t>%</m:t>
            </m:r>
          </m:sub>
        </m:sSub>
      </m:oMath>
      <w:r>
        <w:rPr/>
        <w:t xml:space="preserve"> of PPC was </w:t>
      </w:r>
      <m:oMath>
        <m:sSup>
          <m:sSupPr/>
          <m:e>
            <m:r>
              <m:rPr>
                <m:sty m:val="p"/>
              </m:rPr>
              <m:t>55.5</m:t>
            </m:r>
          </m:e>
          <m:sup>
            <m:r>
              <m:rPr>
                <m:sty m:val="p"/>
              </m:rPr>
              <m:t>∘</m:t>
            </m:r>
          </m:sup>
        </m:sSup>
        <m:r>
          <m:rPr>
            <m:sty m:val="p"/>
          </m:rPr>
          <m:t>C</m:t>
        </m:r>
      </m:oMath>
      <w:r>
        <w:rPr/>
        <w:t xml:space="preserve"> lower than that of the PPC/PP slices when PPC was blended with PP at a ratio of 80/20 (w/w). The thermal decomposition temperatures of the PPC/ PP slices increased with increasing PP-g-(MAH-co-St) content. The </w:t>
      </w:r>
      <m:oMath>
        <m:sSub>
          <m:sSubPr/>
          <m:e>
            <m:r>
              <m:rPr>
                <m:sty m:val="i"/>
              </m:rPr>
              <m:t>T</m:t>
            </m:r>
          </m:e>
          <m:sub>
            <m:r>
              <m:rPr>
                <m:sty m:val="p"/>
              </m:rPr>
              <m:t>−</m:t>
            </m:r>
            <m:r>
              <m:rPr>
                <m:sty m:val="p"/>
              </m:rPr>
              <m:t>5</m:t>
            </m:r>
            <m:r>
              <m:rPr>
                <m:sty m:val="p"/>
              </m:rPr>
              <m:t>%</m:t>
            </m:r>
          </m:sub>
        </m:sSub>
      </m:oMath>
      <w:r>
        <w:rPr>
          <w:rFonts w:eastAsia="Georgia" w:cs="Georgia" w:ascii="Georgia" w:hAnsi="Georgia"/>
        </w:rPr>
        <w:t xml:space="preserve"> of the PPC/PP slices was mostly improved by 25°C by the addition of 8% PP- </w:t>
      </w:r>
      <m:oMath>
        <m:r>
          <m:rPr>
            <m:sty m:val="i"/>
          </m:rPr>
          <m:t>g</m:t>
        </m:r>
      </m:oMath>
      <w:r>
        <w:rPr/>
        <w:t xml:space="preserve">-(MAH- </w:t>
      </w:r>
      <m:oMath>
        <m:r>
          <m:rPr>
            <m:sty m:val="i"/>
          </m:rPr>
          <m:t>c</m:t>
        </m:r>
        <m:r>
          <m:rPr>
            <m:sty m:val="i"/>
          </m:rPr>
          <m:t>o</m:t>
        </m:r>
        <m:r>
          <m:rPr>
            <m:sty m:val="p"/>
          </m:rPr>
          <m:t>−</m:t>
        </m:r>
        <m:r>
          <m:rPr>
            <m:sty m:val="p"/>
          </m:rPr>
          <m:t>St</m:t>
        </m:r>
      </m:oMath>
      <w:r>
        <w:rPr/>
        <w:t xml:space="preserve"> ) ( </w:t>
      </w:r>
      <m:oMath>
        <m:sSub>
          <m:sSubPr/>
          <m:e>
            <m:r>
              <m:rPr>
                <m:sty m:val="i"/>
              </m:rPr>
              <m:t>G</m:t>
            </m:r>
          </m:e>
          <m:sub>
            <m:r>
              <m:rPr>
                <m:nor/>
              </m:rPr>
              <m:t>MAH </m:t>
            </m:r>
          </m:sub>
        </m:sSub>
        <m:r>
          <m:rPr>
            <m:sty m:val="p"/>
          </m:rPr>
          <m:t>=</m:t>
        </m:r>
      </m:oMath>
      <w:r>
        <w:rPr/>
        <w:t xml:space="preserve"> 1.51%). The thermal decomposition temperatures of the PPC/PP slices did not obviously change when the grafting proportion of PP- </w:t>
      </w:r>
      <m:oMath>
        <m:r>
          <m:rPr>
            <m:sty m:val="i"/>
          </m:rPr>
          <m:t>g</m:t>
        </m:r>
      </m:oMath>
      <w:r>
        <w:rPr/>
        <w:t xml:space="preserve">-(MAH-co-St) was increased. PPC was easily decomposed to cyclic carbonate at low temperature, because the thermal degradation was inhibited by the reaction of PPC and the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Therefore, thermal decomposition temperatures and the thermal stability of the</w:t>
      </w:r>
    </w:p>
    <w:p>
      <w:pPr>
        <w:spacing w:lineRule="auto"/>
        <w:jc w:val="center"/>
      </w:pPr>
      <w:r>
        <w:rPr/>
        <w:drawing>
          <wp:inline distB="0" distL="0" distR="0" distT="0">
            <wp:extent cx="5486400" cy="4340711"/>
            <wp:effectExtent b="0" l="0" r="0" t="0"/>
            <wp:docPr id="3" name="image-0f08555f2498d5281c45d0ccdc725c1b670cea76.jpg"/>
            <a:graphic>
              <a:graphicData uri="http://schemas.openxmlformats.org/drawingml/2006/picture">
                <pic:pic>
                  <pic:nvPicPr>
                    <pic:cNvPr id="3" name="image-0f08555f2498d5281c45d0ccdc725c1b670cea76.jpg" descr=""/>
                    <pic:cNvPicPr/>
                  </pic:nvPicPr>
                  <pic:blipFill>
                    <a:blip r:embed="rId7" cstate="print"/>
                    <a:srcRect b="0" l="0" r="0" t="0"/>
                    <a:stretch>
                      <a:fillRect/>
                    </a:stretch>
                  </pic:blipFill>
                  <pic:spPr>
                    <a:xfrm>
                      <a:off x="0" y="0"/>
                      <a:ext cx="5486400" cy="4340711"/>
                    </a:xfrm>
                    <a:prstGeom prst="rect"/>
                  </pic:spPr>
                </pic:pic>
              </a:graphicData>
            </a:graphic>
          </wp:inline>
        </w:drawing>
      </w:r>
    </w:p>
    <w:p>
      <w:pPr>
        <w:spacing w:lineRule="auto"/>
      </w:pPr>
      <w:r>
        <w:rPr/>
        <w:t xml:space="preserve">Figure 3. Tensile properties of PPC/PP slices with PP-g-(MAH-co-St).</w:t>
      </w:r>
    </w:p>
    <w:p>
      <w:pPr>
        <w:spacing w:lineRule="auto"/>
        <w:jc w:val="center"/>
      </w:pPr>
      <w:r>
        <w:rPr/>
        <w:drawing>
          <wp:inline distB="0" distL="0" distR="0" distT="0">
            <wp:extent cx="5486400" cy="4393737"/>
            <wp:effectExtent b="0" l="0" r="0" t="0"/>
            <wp:docPr id="4" name="image-ef1c9b0fcaa5c1f9d3f5098afdc353738d61eb8a.jpg"/>
            <a:graphic>
              <a:graphicData uri="http://schemas.openxmlformats.org/drawingml/2006/picture">
                <pic:pic>
                  <pic:nvPicPr>
                    <pic:cNvPr id="4" name="image-ef1c9b0fcaa5c1f9d3f5098afdc353738d61eb8a.jpg" descr=""/>
                    <pic:cNvPicPr/>
                  </pic:nvPicPr>
                  <pic:blipFill>
                    <a:blip r:embed="rId8" cstate="print"/>
                    <a:srcRect b="0" l="0" r="0" t="0"/>
                    <a:stretch>
                      <a:fillRect/>
                    </a:stretch>
                  </pic:blipFill>
                  <pic:spPr>
                    <a:xfrm>
                      <a:off x="0" y="0"/>
                      <a:ext cx="5486400" cy="4393737"/>
                    </a:xfrm>
                    <a:prstGeom prst="rect"/>
                  </pic:spPr>
                </pic:pic>
              </a:graphicData>
            </a:graphic>
          </wp:inline>
        </w:drawing>
      </w:r>
    </w:p>
    <w:p>
      <w:pPr>
        <w:spacing w:lineRule="auto"/>
      </w:pPr>
      <w:r>
        <w:rPr/>
        <w:t xml:space="preserve">Figure 4. MFRs of PPC/PP slices with PP-g-(MAH-co-St).</w:t>
      </w:r>
    </w:p>
    <w:p>
      <w:pPr>
        <w:spacing w:lineRule="auto"/>
        <w:jc w:val="center"/>
      </w:pPr>
      <w:r>
        <w:rPr/>
        <w:drawing>
          <wp:inline distB="0" distL="0" distR="0" distT="0">
            <wp:extent cx="5486400" cy="3062535"/>
            <wp:effectExtent b="0" l="0" r="0" t="0"/>
            <wp:docPr id="5" name="image-a967f994436581cf44324e444238944e2de2f3c9.jpg"/>
            <a:graphic>
              <a:graphicData uri="http://schemas.openxmlformats.org/drawingml/2006/picture">
                <pic:pic>
                  <pic:nvPicPr>
                    <pic:cNvPr id="5" name="image-a967f994436581cf44324e444238944e2de2f3c9.jpg" descr=""/>
                    <pic:cNvPicPr/>
                  </pic:nvPicPr>
                  <pic:blipFill>
                    <a:blip r:embed="rId9" cstate="print"/>
                    <a:srcRect b="0" l="0" r="0" t="0"/>
                    <a:stretch>
                      <a:fillRect/>
                    </a:stretch>
                  </pic:blipFill>
                  <pic:spPr>
                    <a:xfrm>
                      <a:off x="0" y="0"/>
                      <a:ext cx="5486400" cy="3062535"/>
                    </a:xfrm>
                    <a:prstGeom prst="rect"/>
                  </pic:spPr>
                </pic:pic>
              </a:graphicData>
            </a:graphic>
          </wp:inline>
        </w:drawing>
      </w:r>
    </w:p>
    <w:p>
      <w:pPr>
        <w:spacing w:lineRule="auto"/>
      </w:pPr>
      <w:r>
        <w:rPr/>
        <w:t xml:space="preserve">Figure 5. DSC curves of PP and PPC/PP slices.</w:t>
      </w:r>
    </w:p>
    <w:p>
      <w:pPr>
        <w:spacing w:after="220" w:lineRule="auto"/>
      </w:pPr>
      <w:r>
        <w:rPr/>
        <w:t xml:space="preserve">PPC/PP slices can be improved and the processing temperature range can be expanded by the addition of PP- </w:t>
      </w:r>
      <m:oMath>
        <m:r>
          <m:rPr>
            <m:sty m:val="i"/>
          </m:rPr>
          <m:t>g</m:t>
        </m:r>
      </m:oMath>
      <w:r>
        <w:rPr/>
        <w:t xml:space="preserve">-(MAH-co-St).</w:t>
      </w:r>
    </w:p>
    <w:p>
      <w:pPr>
        <w:spacing w:line="271" w:before="330" w:lineRule="auto"/>
      </w:pPr>
      <w:bookmarkStart w:id="11" w:name="degradation_properties"/>
      <w:r>
        <w:rPr>
          <w:b/>
          <w:sz w:val="42"/>
        </w:rPr>
        <w:t xml:space="preserve">Degradation properties</w:t>
      </w:r>
      <w:bookmarkEnd w:id="11"/>
    </w:p>
    <w:p>
      <w:pPr>
        <w:spacing w:after="220" w:lineRule="auto"/>
      </w:pPr>
      <w:r>
        <w:rPr/>
        <w:t xml:space="preserve">The degradation rates of PPC, PP, and the PPC/PP slices in PBS are shown in Table 3. After 30 days, about 4.30% of</w:t>
      </w:r>
    </w:p>
    <w:p>
      <w:pPr>
        <w:spacing w:lineRule="auto"/>
      </w:pPr>
      <w:r>
        <w:rPr/>
        <w:t xml:space="preserve">Table 2. Thermal properties of PP and PPC/PP slices.</w:t>
      </w:r>
    </w:p>
    <w:tbl>
      <w:tblPr>
        <w:tblStyle w:val="TableGrid"/>
        <w:jc w:val="center"/>
        <w:tblCellSpacing w:w="0" w:type="dxa"/>
        <w:tblBorders/>
        <w:tblCellMar>
          <w:top w:type="dxa" w:w="80"/>
          <w:left w:type="dxa" w:w="160"/>
          <w:bottom w:type="dxa" w:w="80"/>
          <w:right w:type="dxa" w:w="160"/>
        </w:tblCellMar>
      </w:tblPr>
      <w:tblGrid>
        <w:gridCol w:w="960"/>
        <w:gridCol w:w="960"/>
        <w:gridCol w:w="960"/>
        <w:gridCol w:w="960"/>
        <w:gridCol w:w="960"/>
        <w:gridCol w:w="960"/>
        <w:gridCol w:w="960"/>
        <w:gridCol w:w="960"/>
        <w:gridCol w:w="96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Materials</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i"/>
                      </m:rPr>
                      <m:t>g</m:t>
                    </m:r>
                  </m:sub>
                </m:sSub>
                <m:d>
                  <m:dPr>
                    <m:begChr m:val="("/>
                    <m:endChr m:val=")"/>
                    <m:ctrlPr>
                      <w:rPr>
                        <w:rFonts w:ascii="Cambria Math" w:hAnsi="Cambria Math"/>
                      </w:rPr>
                    </m:ctrlPr>
                  </m:dPr>
                  <m:e>
                    <m:sSup>
                      <m:sSupPr/>
                      <m:e>
                        <m:r>
                          <m:t xml:space="preserve"> </m:t>
                        </m:r>
                      </m:e>
                      <m:sup>
                        <m:r>
                          <m:rPr>
                            <m:sty m:val="p"/>
                          </m:rPr>
                          <m:t>∘</m:t>
                        </m:r>
                      </m:sup>
                    </m:sSup>
                    <m:r>
                      <m:rPr>
                        <m:sty m:val="p"/>
                      </m:rPr>
                      <m:t>C</m:t>
                    </m:r>
                  </m:e>
                </m:d>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i"/>
                      </m:rPr>
                      <m:t>m</m:t>
                    </m:r>
                  </m:sub>
                </m:sSub>
                <m:d>
                  <m:dPr>
                    <m:begChr m:val="("/>
                    <m:endChr m:val=")"/>
                    <m:ctrlPr>
                      <w:rPr>
                        <w:rFonts w:ascii="Cambria Math" w:hAnsi="Cambria Math"/>
                      </w:rPr>
                    </m:ctrlPr>
                  </m:dPr>
                  <m:e>
                    <m:sSup>
                      <m:sSupPr/>
                      <m:e>
                        <m:r>
                          <m:t xml:space="preserve"> </m:t>
                        </m:r>
                      </m:e>
                      <m:sup>
                        <m:r>
                          <m:rPr>
                            <m:sty m:val="p"/>
                          </m:rPr>
                          <m:t>∘</m:t>
                        </m:r>
                      </m:sup>
                    </m:sSup>
                    <m:r>
                      <m:rPr>
                        <m:sty m:val="p"/>
                      </m:rPr>
                      <m:t>C</m:t>
                    </m:r>
                  </m:e>
                </m:d>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p"/>
                      </m:rPr>
                      <m:t>−</m:t>
                    </m:r>
                    <m:r>
                      <m:rPr>
                        <m:sty m:val="p"/>
                      </m:rPr>
                      <m:t>5</m:t>
                    </m:r>
                    <m:r>
                      <m:rPr>
                        <m:sty m:val="p"/>
                      </m:rPr>
                      <m:t>%</m:t>
                    </m:r>
                  </m:sub>
                </m:sSub>
                <m:d>
                  <m:dPr>
                    <m:begChr m:val="("/>
                    <m:endChr m:val=")"/>
                    <m:ctrlPr>
                      <w:rPr>
                        <w:rFonts w:ascii="Cambria Math" w:hAnsi="Cambria Math"/>
                      </w:rPr>
                    </m:ctrlPr>
                  </m:dPr>
                  <m:e>
                    <m:sSup>
                      <m:sSupPr/>
                      <m:e>
                        <m:r>
                          <m:t xml:space="preserve"> </m:t>
                        </m:r>
                      </m:e>
                      <m:sup>
                        <m:r>
                          <m:rPr>
                            <m:sty m:val="p"/>
                          </m:rPr>
                          <m:t>∘</m:t>
                        </m:r>
                      </m:sup>
                    </m:sSup>
                    <m:r>
                      <m:rPr>
                        <m:sty m:val="p"/>
                      </m:rPr>
                      <m:t>C</m:t>
                    </m:r>
                  </m:e>
                </m:d>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p"/>
                      </m:rPr>
                      <m:t>−</m:t>
                    </m:r>
                    <m:r>
                      <m:rPr>
                        <m:sty m:val="p"/>
                      </m:rPr>
                      <m:t>50</m:t>
                    </m:r>
                    <m:r>
                      <m:rPr>
                        <m:sty m:val="p"/>
                      </m:rPr>
                      <m:t>%</m:t>
                    </m:r>
                  </m:sub>
                </m:sSub>
                <m:d>
                  <m:dPr>
                    <m:begChr m:val="("/>
                    <m:endChr m:val=")"/>
                    <m:ctrlPr>
                      <w:rPr>
                        <w:rFonts w:ascii="Cambria Math" w:hAnsi="Cambria Math"/>
                      </w:rPr>
                    </m:ctrlPr>
                  </m:dPr>
                  <m:e>
                    <m:sSup>
                      <m:sSupPr/>
                      <m:e>
                        <m:r>
                          <m:t xml:space="preserve"> </m:t>
                        </m:r>
                      </m:e>
                      <m:sup>
                        <m:r>
                          <m:rPr>
                            <m:sty m:val="p"/>
                          </m:rPr>
                          <m:t>∘</m:t>
                        </m:r>
                      </m:sup>
                    </m:sSup>
                    <m:r>
                      <m:rPr>
                        <m:sty m:val="p"/>
                      </m:rPr>
                      <m:t>C</m:t>
                    </m:r>
                  </m:e>
                </m:d>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p"/>
                      </m:rPr>
                      <m:t>−</m:t>
                    </m:r>
                    <m:r>
                      <m:rPr>
                        <m:sty m:val="p"/>
                      </m:rPr>
                      <m:t>95</m:t>
                    </m:r>
                    <m:r>
                      <m:rPr>
                        <m:sty m:val="p"/>
                      </m:rPr>
                      <m:t>%</m:t>
                    </m:r>
                  </m:sub>
                </m:sSub>
                <m:d>
                  <m:dPr>
                    <m:begChr m:val="("/>
                    <m:endChr m:val=")"/>
                    <m:ctrlPr>
                      <w:rPr>
                        <w:rFonts w:ascii="Cambria Math" w:hAnsi="Cambria Math"/>
                      </w:rPr>
                    </m:ctrlPr>
                  </m:dPr>
                  <m:e>
                    <m:sSup>
                      <m:sSupPr/>
                      <m:e>
                        <m:r>
                          <m:t xml:space="preserve"> </m:t>
                        </m:r>
                      </m:e>
                      <m:sup>
                        <m:r>
                          <m:rPr>
                            <m:sty m:val="p"/>
                          </m:rPr>
                          <m:t>∘</m:t>
                        </m:r>
                      </m:sup>
                    </m:sSup>
                    <m:r>
                      <m:rPr>
                        <m:sty m:val="p"/>
                      </m:rPr>
                      <m:t>C</m:t>
                    </m:r>
                  </m:e>
                </m:d>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i"/>
                      </m:rPr>
                      <m:t>p</m:t>
                    </m:r>
                  </m:sub>
                </m:sSub>
                <m:d>
                  <m:dPr>
                    <m:begChr m:val="("/>
                    <m:endChr m:val=")"/>
                    <m:ctrlPr>
                      <w:rPr>
                        <w:rFonts w:ascii="Cambria Math" w:hAnsi="Cambria Math"/>
                      </w:rPr>
                    </m:ctrlPr>
                  </m:dPr>
                  <m:e>
                    <m:sSup>
                      <m:sSupPr/>
                      <m:e>
                        <m:r>
                          <m:t xml:space="preserve"> </m:t>
                        </m:r>
                      </m:e>
                      <m:sup>
                        <m:r>
                          <m:rPr>
                            <m:sty m:val="p"/>
                          </m:rPr>
                          <m:t>∘</m:t>
                        </m:r>
                      </m:sup>
                    </m:sSup>
                    <m:r>
                      <m:rPr>
                        <m:sty m:val="p"/>
                      </m:rPr>
                      <m:t>C</m:t>
                    </m:r>
                  </m:e>
                </m:d>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r>
                  <m:rPr>
                    <m:sty m:val="p"/>
                  </m:rPr>
                  <m:t>Δ</m:t>
                </m:r>
                <m:sSub>
                  <m:sSubPr/>
                  <m:e>
                    <m:r>
                      <m:rPr>
                        <m:sty m:val="i"/>
                      </m:rPr>
                      <m:t>H</m:t>
                    </m:r>
                  </m:e>
                  <m:sub>
                    <m:r>
                      <m:rPr>
                        <m:sty m:val="i"/>
                      </m:rPr>
                      <m:t>m</m:t>
                    </m:r>
                  </m:sub>
                </m:sSub>
                <m:r>
                  <m:rPr>
                    <m:sty m:val="p"/>
                  </m:rPr>
                  <m:t>(</m:t>
                </m:r>
                <m:r>
                  <m:rPr>
                    <m:nor/>
                  </m:rPr>
                  <m:t xml:space="preserve"> </m:t>
                </m:r>
                <m:r>
                  <m:rPr>
                    <m:sty m:val="p"/>
                  </m:rPr>
                  <m:t>J</m:t>
                </m:r>
                <m:r>
                  <m:rPr>
                    <m:sty m:val="p"/>
                  </m:rPr>
                  <m:t>/</m:t>
                </m:r>
                <m:r>
                  <m:rPr>
                    <m:sty m:val="p"/>
                  </m:rPr>
                  <m:t>g</m:t>
                </m:r>
                <m:r>
                  <m:rPr>
                    <m:sty m:val="p"/>
                  </m:rPr>
                  <m:t>)</m:t>
                </m:r>
              </m:oMath>
            </m:oMathPara>
          </w:p>
        </w:tc>
        <w:tc>
          <w:tcPr>
            <w:tcBorders>
              <w:top w:val="single" w:sz="8" w:space="0" w:color="000000"/>
              <w:bottom w:val="single" w:sz="8" w:space="0" w:color="000000"/>
              <w:right w:val="single" w:sz="8" w:space="0" w:color="000000"/>
            </w:tcBorders>
            <w:vAlign w:val="top"/>
          </w:tcPr>
          <w:p>
            <w:pPr>
              <w:spacing w:lineRule="auto"/>
              <w:jc w:val="left"/>
            </w:pPr>
            <m:oMath>
              <m:sSub>
                <m:sSubPr/>
                <m:e>
                  <m:r>
                    <m:rPr>
                      <m:sty m:val="i"/>
                    </m:rPr>
                    <m:t>X</m:t>
                  </m:r>
                </m:e>
                <m:sub>
                  <m:r>
                    <m:rPr>
                      <m:sty m:val="i"/>
                    </m:rPr>
                    <m:t>c</m:t>
                  </m:r>
                </m:sub>
              </m:sSub>
            </m:oMath>
            <w:r>
              <w:rPr/>
              <w:t xml:space="preserve"> (%)</w:t>
            </w:r>
          </w:p>
        </w:tc>
      </w:tr>
      <w:tr>
        <w:trPr>
          <w:cantSplit/>
        </w:trPr>
        <w:tc>
          <w:tcPr>
            <w:tcBorders>
              <w:left w:val="single" w:sz="8" w:space="0" w:color="000000"/>
              <w:bottom w:val="single" w:sz="8" w:space="0" w:color="000000"/>
              <w:right w:val="single" w:sz="8" w:space="0" w:color="000000"/>
            </w:tcBorders>
            <w:vAlign w:val="top"/>
          </w:tcPr>
          <w:p>
            <w:pPr>
              <w:spacing w:lineRule="auto"/>
              <w:jc w:val="left"/>
            </w:pPr>
            <m:oMathPara>
              <m:oMath>
                <m:m>
                  <m:mPr>
                    <m:plcHide m:val="1"/>
                    <m:cGpRule m:val="4"/>
                    <m:mcs>
                      <m:mc>
                        <m:mcPr>
                          <m:count m:val="1"/>
                          <m:mcJc m:val="right"/>
                        </m:mcPr>
                      </m:mc>
                      <m:mc>
                        <m:mcPr>
                          <m:count m:val="1"/>
                          <m:mcJc m:val="left"/>
                        </m:mcPr>
                      </m:mc>
                    </m:mcs>
                    <m:ctrlPr>
                      <w:rPr>
                        <w:rFonts w:ascii="Cambria Math" w:hAnsi="Cambria Math"/>
                        <w:i/>
                      </w:rPr>
                    </m:ctrlPr>
                  </m:mPr>
                  <m:mr>
                    <m:e/>
                    <m:e>
                      <m:r>
                        <m:rPr>
                          <m:nor/>
                        </m:rPr>
                        <m:t> PPC/PP-g-(MAH-co-St) </m:t>
                      </m:r>
                    </m:e>
                  </m:mr>
                  <m:mr>
                    <m:e/>
                    <m:e>
                      <m:d>
                        <m:dPr>
                          <m:begChr m:val="("/>
                          <m:endChr m:val=")"/>
                          <m:ctrlPr>
                            <w:rPr>
                              <w:rFonts w:ascii="Cambria Math" w:hAnsi="Cambria Math"/>
                            </w:rPr>
                          </m:ctrlPr>
                        </m:dPr>
                        <m:e>
                          <m:sSub>
                            <m:sSubPr/>
                            <m:e>
                              <m:r>
                                <m:rPr>
                                  <m:sty m:val="i"/>
                                </m:rPr>
                                <m:t>G</m:t>
                              </m:r>
                            </m:e>
                            <m:sub>
                              <m:r>
                                <m:rPr>
                                  <m:nor/>
                                </m:rPr>
                                <m:t>MAH </m:t>
                              </m:r>
                            </m:sub>
                          </m:sSub>
                          <m:r>
                            <m:rPr>
                              <m:sty m:val="p"/>
                            </m:rPr>
                            <m:t>=</m:t>
                          </m:r>
                          <m:r>
                            <m:rPr>
                              <m:sty m:val="p"/>
                            </m:rPr>
                            <m:t>0.94</m:t>
                          </m:r>
                          <m:r>
                            <m:rPr>
                              <m:sty m:val="p"/>
                            </m:rPr>
                            <m:t>%</m:t>
                          </m:r>
                        </m:e>
                      </m:d>
                      <m:r>
                        <m:rPr>
                          <m:sty m:val="p"/>
                        </m:rPr>
                        <m:t>/</m:t>
                      </m:r>
                      <m:r>
                        <m:rPr>
                          <m:sty m:val="p"/>
                        </m:rPr>
                        <m:t>PP</m:t>
                      </m:r>
                      <m:r>
                        <m:rPr>
                          <m:sty m:val="p"/>
                        </m:rPr>
                        <m:t>(</m:t>
                      </m:r>
                      <m:r>
                        <m:rPr>
                          <m:sty m:val="p"/>
                        </m:rPr>
                        <m:t>80</m:t>
                      </m:r>
                      <m:r>
                        <m:rPr>
                          <m:sty m:val="p"/>
                        </m:rPr>
                        <m:t>/</m:t>
                      </m:r>
                      <m:r>
                        <m:rPr>
                          <m:sty m:val="p"/>
                        </m:rPr>
                        <m:t>2</m:t>
                      </m:r>
                      <m:r>
                        <m:rPr>
                          <m:sty m:val="p"/>
                        </m:rPr>
                        <m:t>/</m:t>
                      </m:r>
                      <m:r>
                        <m:rPr>
                          <m:sty m:val="p"/>
                        </m:rPr>
                        <m:t>20</m:t>
                      </m:r>
                      <m:r>
                        <m:rPr>
                          <m:sty m:val="p"/>
                        </m:rPr>
                        <m:t>)</m:t>
                      </m:r>
                    </m:e>
                  </m:mr>
                </m:m>
              </m:oMath>
            </m:oMathPara>
          </w:p>
        </w:tc>
        <w:tc>
          <w:tcPr>
            <w:tcBorders>
              <w:bottom w:val="single" w:sz="8" w:space="0" w:color="000000"/>
              <w:right w:val="single" w:sz="8" w:space="0" w:color="000000"/>
            </w:tcBorders>
            <w:vAlign w:val="top"/>
          </w:tcPr>
          <w:p>
            <w:pPr>
              <w:spacing w:lineRule="auto"/>
              <w:jc w:val="left"/>
            </w:pPr>
            <w:r>
              <w:rPr/>
              <w:t xml:space="preserve">27.8</w:t>
            </w:r>
          </w:p>
        </w:tc>
        <w:tc>
          <w:tcPr>
            <w:tcBorders>
              <w:bottom w:val="single" w:sz="8" w:space="0" w:color="000000"/>
              <w:right w:val="single" w:sz="8" w:space="0" w:color="000000"/>
            </w:tcBorders>
            <w:vAlign w:val="top"/>
          </w:tcPr>
          <w:p>
            <w:pPr>
              <w:spacing w:lineRule="auto"/>
              <w:jc w:val="left"/>
            </w:pPr>
            <w:r>
              <w:rPr/>
              <w:t xml:space="preserve">161.2</w:t>
            </w:r>
          </w:p>
        </w:tc>
        <w:tc>
          <w:tcPr>
            <w:tcBorders>
              <w:bottom w:val="single" w:sz="8" w:space="0" w:color="000000"/>
              <w:right w:val="single" w:sz="8" w:space="0" w:color="000000"/>
            </w:tcBorders>
            <w:vAlign w:val="top"/>
          </w:tcPr>
          <w:p>
            <w:pPr>
              <w:spacing w:lineRule="auto"/>
              <w:jc w:val="left"/>
            </w:pPr>
            <w:r>
              <w:rPr/>
              <w:t xml:space="preserve">222.0</w:t>
            </w:r>
          </w:p>
        </w:tc>
        <w:tc>
          <w:tcPr>
            <w:tcBorders>
              <w:bottom w:val="single" w:sz="8" w:space="0" w:color="000000"/>
              <w:right w:val="single" w:sz="8" w:space="0" w:color="000000"/>
            </w:tcBorders>
            <w:vAlign w:val="top"/>
          </w:tcPr>
          <w:p>
            <w:pPr>
              <w:spacing w:lineRule="auto"/>
              <w:jc w:val="left"/>
            </w:pPr>
            <w:r>
              <w:rPr/>
              <w:t xml:space="preserve">257.5</w:t>
            </w:r>
          </w:p>
        </w:tc>
        <w:tc>
          <w:tcPr>
            <w:tcBorders>
              <w:bottom w:val="single" w:sz="8" w:space="0" w:color="000000"/>
              <w:right w:val="single" w:sz="8" w:space="0" w:color="000000"/>
            </w:tcBorders>
            <w:vAlign w:val="top"/>
          </w:tcPr>
          <w:p>
            <w:pPr>
              <w:spacing w:lineRule="auto"/>
              <w:jc w:val="left"/>
            </w:pPr>
            <w:r>
              <w:rPr/>
              <w:t xml:space="preserve">376.5</w:t>
            </w:r>
          </w:p>
        </w:tc>
        <w:tc>
          <w:tcPr>
            <w:tcBorders>
              <w:bottom w:val="single" w:sz="8" w:space="0" w:color="000000"/>
              <w:right w:val="single" w:sz="8" w:space="0" w:color="000000"/>
            </w:tcBorders>
            <w:vAlign w:val="top"/>
          </w:tcPr>
          <w:p>
            <w:pPr>
              <w:spacing w:lineRule="auto"/>
              <w:jc w:val="left"/>
            </w:pPr>
            <w:r>
              <w:rPr/>
              <w:t xml:space="preserve">251.5</w:t>
            </w:r>
          </w:p>
        </w:tc>
        <w:tc>
          <w:tcPr>
            <w:tcBorders>
              <w:bottom w:val="single" w:sz="8" w:space="0" w:color="000000"/>
              <w:right w:val="single" w:sz="8" w:space="0" w:color="000000"/>
            </w:tcBorders>
            <w:vAlign w:val="top"/>
          </w:tcPr>
          <w:p>
            <w:pPr>
              <w:spacing w:lineRule="auto"/>
              <w:jc w:val="left"/>
            </w:pPr>
            <w:r>
              <w:rPr/>
              <w:t xml:space="preserve">19.64</w:t>
            </w:r>
          </w:p>
        </w:tc>
        <w:tc>
          <w:tcPr>
            <w:tcBorders>
              <w:bottom w:val="single" w:sz="8" w:space="0" w:color="000000"/>
              <w:right w:val="single" w:sz="8" w:space="0" w:color="000000"/>
            </w:tcBorders>
            <w:vAlign w:val="top"/>
          </w:tcPr>
          <w:p>
            <w:pPr>
              <w:spacing w:lineRule="auto"/>
              <w:jc w:val="left"/>
            </w:pPr>
            <w:r>
              <w:rPr/>
              <w:t xml:space="preserve">47.0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m:oMathPara>
              <m:oMath>
                <m:m>
                  <m:mPr>
                    <m:plcHide m:val="1"/>
                    <m:cGpRule m:val="4"/>
                    <m:mcs>
                      <m:mc>
                        <m:mcPr>
                          <m:count m:val="1"/>
                          <m:mcJc m:val="right"/>
                        </m:mcPr>
                      </m:mc>
                      <m:mc>
                        <m:mcPr>
                          <m:count m:val="1"/>
                          <m:mcJc m:val="left"/>
                        </m:mcPr>
                      </m:mc>
                    </m:mcs>
                    <m:ctrlPr>
                      <w:rPr>
                        <w:rFonts w:ascii="Cambria Math" w:hAnsi="Cambria Math"/>
                        <w:i/>
                      </w:rPr>
                    </m:ctrlPr>
                  </m:mPr>
                  <m:mr>
                    <m:e/>
                    <m:e>
                      <m:r>
                        <m:rPr>
                          <m:nor/>
                        </m:rPr>
                        <m:t> PPC/PP-g- </m:t>
                      </m:r>
                      <m:r>
                        <m:rPr>
                          <m:sty m:val="p"/>
                        </m:rPr>
                        <m:t>(</m:t>
                      </m:r>
                      <m:r>
                        <m:rPr>
                          <m:nor/>
                        </m:rPr>
                        <m:t> MAH-co-St </m:t>
                      </m:r>
                      <m:r>
                        <m:rPr>
                          <m:sty m:val="p"/>
                        </m:rPr>
                        <m:t>)</m:t>
                      </m:r>
                    </m:e>
                  </m:mr>
                  <m:mr>
                    <m:e/>
                    <m:e>
                      <m:d>
                        <m:dPr>
                          <m:begChr m:val="("/>
                          <m:endChr m:val=")"/>
                          <m:ctrlPr>
                            <w:rPr>
                              <w:rFonts w:ascii="Cambria Math" w:hAnsi="Cambria Math"/>
                            </w:rPr>
                          </m:ctrlPr>
                        </m:dPr>
                        <m:e>
                          <m:sSub>
                            <m:sSubPr/>
                            <m:e>
                              <m:r>
                                <m:rPr>
                                  <m:sty m:val="i"/>
                                </m:rPr>
                                <m:t>G</m:t>
                              </m:r>
                            </m:e>
                            <m:sub>
                              <m:r>
                                <m:rPr>
                                  <m:nor/>
                                </m:rPr>
                                <m:t>MAH </m:t>
                              </m:r>
                            </m:sub>
                          </m:sSub>
                          <m:r>
                            <m:rPr>
                              <m:sty m:val="p"/>
                            </m:rPr>
                            <m:t>=</m:t>
                          </m:r>
                          <m:r>
                            <m:rPr>
                              <m:sty m:val="p"/>
                            </m:rPr>
                            <m:t>1.51</m:t>
                          </m:r>
                          <m:r>
                            <m:rPr>
                              <m:sty m:val="p"/>
                            </m:rPr>
                            <m:t>%</m:t>
                          </m:r>
                        </m:e>
                      </m:d>
                      <m:r>
                        <m:rPr>
                          <m:sty m:val="p"/>
                        </m:rPr>
                        <m:t>/</m:t>
                      </m:r>
                      <m:r>
                        <m:rPr>
                          <m:nor/>
                        </m:rPr>
                        <m:t> PP </m:t>
                      </m:r>
                      <m:r>
                        <m:rPr>
                          <m:sty m:val="p"/>
                        </m:rPr>
                        <m:t>(</m:t>
                      </m:r>
                      <m:r>
                        <m:rPr>
                          <m:sty m:val="p"/>
                        </m:rPr>
                        <m:t>80</m:t>
                      </m:r>
                      <m:r>
                        <m:rPr>
                          <m:sty m:val="p"/>
                        </m:rPr>
                        <m:t>/</m:t>
                      </m:r>
                      <m:r>
                        <m:rPr>
                          <m:sty m:val="p"/>
                        </m:rPr>
                        <m:t>2</m:t>
                      </m:r>
                      <m:r>
                        <m:rPr>
                          <m:sty m:val="p"/>
                        </m:rPr>
                        <m:t>/</m:t>
                      </m:r>
                      <m:r>
                        <m:rPr>
                          <m:sty m:val="p"/>
                        </m:rPr>
                        <m:t>20</m:t>
                      </m:r>
                      <m:r>
                        <m:rPr>
                          <m:sty m:val="p"/>
                        </m:rPr>
                        <m:t>)</m:t>
                      </m:r>
                    </m:e>
                  </m:mr>
                </m:m>
              </m:oMath>
            </m:oMathPara>
          </w:p>
        </w:tc>
        <w:tc>
          <w:tcPr>
            <w:tcBorders>
              <w:bottom w:val="single" w:sz="8" w:space="0" w:color="000000"/>
              <w:right w:val="single" w:sz="8" w:space="0" w:color="000000"/>
            </w:tcBorders>
            <w:vAlign w:val="top"/>
          </w:tcPr>
          <w:p>
            <w:pPr>
              <w:spacing w:lineRule="auto"/>
              <w:jc w:val="left"/>
            </w:pPr>
            <w:r>
              <w:rPr/>
              <w:t xml:space="preserve">25.7</w:t>
            </w:r>
          </w:p>
        </w:tc>
        <w:tc>
          <w:tcPr>
            <w:tcBorders>
              <w:bottom w:val="single" w:sz="8" w:space="0" w:color="000000"/>
              <w:right w:val="single" w:sz="8" w:space="0" w:color="000000"/>
            </w:tcBorders>
            <w:vAlign w:val="top"/>
          </w:tcPr>
          <w:p>
            <w:pPr>
              <w:spacing w:lineRule="auto"/>
              <w:jc w:val="left"/>
            </w:pPr>
            <w:r>
              <w:rPr/>
              <w:t xml:space="preserve">161.6</w:t>
            </w:r>
          </w:p>
        </w:tc>
        <w:tc>
          <w:tcPr>
            <w:tcBorders>
              <w:bottom w:val="single" w:sz="8" w:space="0" w:color="000000"/>
              <w:right w:val="single" w:sz="8" w:space="0" w:color="000000"/>
            </w:tcBorders>
            <w:vAlign w:val="top"/>
          </w:tcPr>
          <w:p>
            <w:pPr>
              <w:spacing w:lineRule="auto"/>
              <w:jc w:val="left"/>
            </w:pPr>
            <w:r>
              <w:rPr/>
              <w:t xml:space="preserve">222.5</w:t>
            </w:r>
          </w:p>
        </w:tc>
        <w:tc>
          <w:tcPr>
            <w:tcBorders>
              <w:bottom w:val="single" w:sz="8" w:space="0" w:color="000000"/>
              <w:right w:val="single" w:sz="8" w:space="0" w:color="000000"/>
            </w:tcBorders>
            <w:vAlign w:val="top"/>
          </w:tcPr>
          <w:p>
            <w:pPr>
              <w:spacing w:lineRule="auto"/>
              <w:jc w:val="left"/>
            </w:pPr>
            <w:r>
              <w:rPr/>
              <w:t xml:space="preserve">257.5</w:t>
            </w:r>
          </w:p>
        </w:tc>
        <w:tc>
          <w:tcPr>
            <w:tcBorders>
              <w:bottom w:val="single" w:sz="8" w:space="0" w:color="000000"/>
              <w:right w:val="single" w:sz="8" w:space="0" w:color="000000"/>
            </w:tcBorders>
            <w:vAlign w:val="top"/>
          </w:tcPr>
          <w:p>
            <w:pPr>
              <w:spacing w:lineRule="auto"/>
              <w:jc w:val="left"/>
            </w:pPr>
            <w:r>
              <w:rPr/>
              <w:t xml:space="preserve">375.5</w:t>
            </w:r>
          </w:p>
        </w:tc>
        <w:tc>
          <w:tcPr>
            <w:tcBorders>
              <w:bottom w:val="single" w:sz="8" w:space="0" w:color="000000"/>
              <w:right w:val="single" w:sz="8" w:space="0" w:color="000000"/>
            </w:tcBorders>
            <w:vAlign w:val="top"/>
          </w:tcPr>
          <w:p>
            <w:pPr>
              <w:spacing w:lineRule="auto"/>
              <w:jc w:val="left"/>
            </w:pPr>
            <w:r>
              <w:rPr/>
              <w:t xml:space="preserve">250.0</w:t>
            </w:r>
          </w:p>
        </w:tc>
        <w:tc>
          <w:tcPr>
            <w:tcBorders>
              <w:bottom w:val="single" w:sz="8" w:space="0" w:color="000000"/>
              <w:right w:val="single" w:sz="8" w:space="0" w:color="000000"/>
            </w:tcBorders>
            <w:vAlign w:val="top"/>
          </w:tcPr>
          <w:p>
            <w:pPr>
              <w:spacing w:lineRule="auto"/>
              <w:jc w:val="left"/>
            </w:pPr>
            <w:r>
              <w:rPr/>
              <w:t xml:space="preserve">21.14</w:t>
            </w:r>
          </w:p>
        </w:tc>
        <w:tc>
          <w:tcPr>
            <w:tcBorders>
              <w:bottom w:val="single" w:sz="8" w:space="0" w:color="000000"/>
              <w:right w:val="single" w:sz="8" w:space="0" w:color="000000"/>
            </w:tcBorders>
            <w:vAlign w:val="top"/>
          </w:tcPr>
          <w:p>
            <w:pPr>
              <w:spacing w:lineRule="auto"/>
              <w:jc w:val="left"/>
            </w:pPr>
            <w:r>
              <w:rPr/>
              <w:t xml:space="preserve">50.6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m:oMathPara>
              <m:oMath>
                <m:m>
                  <m:mPr>
                    <m:plcHide m:val="1"/>
                    <m:cGpRule m:val="4"/>
                    <m:mcs>
                      <m:mc>
                        <m:mcPr>
                          <m:count m:val="1"/>
                          <m:mcJc m:val="right"/>
                        </m:mcPr>
                      </m:mc>
                      <m:mc>
                        <m:mcPr>
                          <m:count m:val="1"/>
                          <m:mcJc m:val="left"/>
                        </m:mcPr>
                      </m:mc>
                    </m:mcs>
                    <m:ctrlPr>
                      <w:rPr>
                        <w:rFonts w:ascii="Cambria Math" w:hAnsi="Cambria Math"/>
                        <w:i/>
                      </w:rPr>
                    </m:ctrlPr>
                  </m:mPr>
                  <m:mr>
                    <m:e/>
                    <m:e>
                      <m:r>
                        <m:rPr>
                          <m:nor/>
                        </m:rPr>
                        <m:t> PPC/PP-g- </m:t>
                      </m:r>
                      <m:r>
                        <m:rPr>
                          <m:sty m:val="p"/>
                        </m:rPr>
                        <m:t>(</m:t>
                      </m:r>
                      <m:r>
                        <m:rPr>
                          <m:nor/>
                        </m:rPr>
                        <m:t> MAH-co-St </m:t>
                      </m:r>
                      <m:r>
                        <m:rPr>
                          <m:sty m:val="p"/>
                        </m:rPr>
                        <m:t>)</m:t>
                      </m:r>
                    </m:e>
                  </m:mr>
                  <m:mr>
                    <m:e/>
                    <m:e>
                      <m:d>
                        <m:dPr>
                          <m:begChr m:val="("/>
                          <m:endChr m:val=")"/>
                          <m:ctrlPr>
                            <w:rPr>
                              <w:rFonts w:ascii="Cambria Math" w:hAnsi="Cambria Math"/>
                            </w:rPr>
                          </m:ctrlPr>
                        </m:dPr>
                        <m:e>
                          <m:sSub>
                            <m:sSubPr/>
                            <m:e>
                              <m:r>
                                <m:rPr>
                                  <m:sty m:val="i"/>
                                </m:rPr>
                                <m:t>G</m:t>
                              </m:r>
                            </m:e>
                            <m:sub>
                              <m:r>
                                <m:rPr>
                                  <m:nor/>
                                </m:rPr>
                                <m:t>MAH </m:t>
                              </m:r>
                            </m:sub>
                          </m:sSub>
                          <m:r>
                            <m:rPr>
                              <m:sty m:val="p"/>
                            </m:rPr>
                            <m:t>=</m:t>
                          </m:r>
                          <m:r>
                            <m:rPr>
                              <m:sty m:val="p"/>
                            </m:rPr>
                            <m:t>1.51</m:t>
                          </m:r>
                          <m:r>
                            <m:rPr>
                              <m:sty m:val="p"/>
                            </m:rPr>
                            <m:t>%</m:t>
                          </m:r>
                        </m:e>
                      </m:d>
                      <m:r>
                        <m:rPr>
                          <m:sty m:val="p"/>
                        </m:rPr>
                        <m:t>/</m:t>
                      </m:r>
                      <m:r>
                        <m:rPr>
                          <m:nor/>
                        </m:rPr>
                        <m:t> PP </m:t>
                      </m:r>
                      <m:r>
                        <m:rPr>
                          <m:sty m:val="p"/>
                        </m:rPr>
                        <m:t>(</m:t>
                      </m:r>
                      <m:r>
                        <m:rPr>
                          <m:sty m:val="p"/>
                        </m:rPr>
                        <m:t>80</m:t>
                      </m:r>
                      <m:r>
                        <m:rPr>
                          <m:sty m:val="p"/>
                        </m:rPr>
                        <m:t>/</m:t>
                      </m:r>
                      <m:r>
                        <m:rPr>
                          <m:sty m:val="p"/>
                        </m:rPr>
                        <m:t>8</m:t>
                      </m:r>
                      <m:r>
                        <m:rPr>
                          <m:sty m:val="p"/>
                        </m:rPr>
                        <m:t>/</m:t>
                      </m:r>
                      <m:r>
                        <m:rPr>
                          <m:sty m:val="p"/>
                        </m:rPr>
                        <m:t>20</m:t>
                      </m:r>
                      <m:r>
                        <m:rPr>
                          <m:sty m:val="p"/>
                        </m:rPr>
                        <m:t>)</m:t>
                      </m:r>
                    </m:e>
                  </m:mr>
                </m:m>
              </m:oMath>
            </m:oMathPara>
          </w:p>
        </w:tc>
        <w:tc>
          <w:tcPr>
            <w:tcBorders>
              <w:bottom w:val="single" w:sz="8" w:space="0" w:color="000000"/>
              <w:right w:val="single" w:sz="8" w:space="0" w:color="000000"/>
            </w:tcBorders>
            <w:vAlign w:val="top"/>
          </w:tcPr>
          <w:p>
            <w:pPr>
              <w:spacing w:lineRule="auto"/>
              <w:jc w:val="left"/>
            </w:pPr>
            <w:r>
              <w:rPr/>
              <w:t xml:space="preserve">24.2</w:t>
            </w:r>
          </w:p>
        </w:tc>
        <w:tc>
          <w:tcPr>
            <w:tcBorders>
              <w:bottom w:val="single" w:sz="8" w:space="0" w:color="000000"/>
              <w:right w:val="single" w:sz="8" w:space="0" w:color="000000"/>
            </w:tcBorders>
            <w:vAlign w:val="top"/>
          </w:tcPr>
          <w:p>
            <w:pPr>
              <w:spacing w:lineRule="auto"/>
              <w:jc w:val="left"/>
            </w:pPr>
            <w:r>
              <w:rPr/>
              <w:t xml:space="preserve">160.0</w:t>
            </w:r>
          </w:p>
        </w:tc>
        <w:tc>
          <w:tcPr>
            <w:tcBorders>
              <w:bottom w:val="single" w:sz="8" w:space="0" w:color="000000"/>
              <w:right w:val="single" w:sz="8" w:space="0" w:color="000000"/>
            </w:tcBorders>
            <w:vAlign w:val="top"/>
          </w:tcPr>
          <w:p>
            <w:pPr>
              <w:spacing w:lineRule="auto"/>
              <w:jc w:val="left"/>
            </w:pPr>
            <w:r>
              <w:rPr/>
              <w:t xml:space="preserve">244.5</w:t>
            </w:r>
          </w:p>
        </w:tc>
        <w:tc>
          <w:tcPr>
            <w:tcBorders>
              <w:bottom w:val="single" w:sz="8" w:space="0" w:color="000000"/>
              <w:right w:val="single" w:sz="8" w:space="0" w:color="000000"/>
            </w:tcBorders>
            <w:vAlign w:val="top"/>
          </w:tcPr>
          <w:p>
            <w:pPr>
              <w:spacing w:lineRule="auto"/>
              <w:jc w:val="left"/>
            </w:pPr>
            <w:r>
              <w:rPr/>
              <w:t xml:space="preserve">281.0</w:t>
            </w:r>
          </w:p>
        </w:tc>
        <w:tc>
          <w:tcPr>
            <w:tcBorders>
              <w:bottom w:val="single" w:sz="8" w:space="0" w:color="000000"/>
              <w:right w:val="single" w:sz="8" w:space="0" w:color="000000"/>
            </w:tcBorders>
            <w:vAlign w:val="top"/>
          </w:tcPr>
          <w:p>
            <w:pPr>
              <w:spacing w:lineRule="auto"/>
              <w:jc w:val="left"/>
            </w:pPr>
            <w:r>
              <w:rPr/>
              <w:t xml:space="preserve">407.7</w:t>
            </w:r>
          </w:p>
        </w:tc>
        <w:tc>
          <w:tcPr>
            <w:tcBorders>
              <w:bottom w:val="single" w:sz="8" w:space="0" w:color="000000"/>
              <w:right w:val="single" w:sz="8" w:space="0" w:color="000000"/>
            </w:tcBorders>
            <w:vAlign w:val="top"/>
          </w:tcPr>
          <w:p>
            <w:pPr>
              <w:spacing w:lineRule="auto"/>
              <w:jc w:val="left"/>
            </w:pPr>
            <w:r>
              <w:rPr/>
              <w:t xml:space="preserve">270.0</w:t>
            </w:r>
          </w:p>
        </w:tc>
        <w:tc>
          <w:tcPr>
            <w:tcBorders>
              <w:bottom w:val="single" w:sz="8" w:space="0" w:color="000000"/>
              <w:right w:val="single" w:sz="8" w:space="0" w:color="000000"/>
            </w:tcBorders>
            <w:vAlign w:val="top"/>
          </w:tcPr>
          <w:p>
            <w:pPr>
              <w:spacing w:lineRule="auto"/>
              <w:jc w:val="left"/>
            </w:pPr>
            <w:r>
              <w:rPr/>
              <w:t xml:space="preserve">21.29</w:t>
            </w:r>
          </w:p>
        </w:tc>
        <w:tc>
          <w:tcPr>
            <w:tcBorders>
              <w:bottom w:val="single" w:sz="8" w:space="0" w:color="000000"/>
              <w:right w:val="single" w:sz="8" w:space="0" w:color="000000"/>
            </w:tcBorders>
            <w:vAlign w:val="top"/>
          </w:tcPr>
          <w:p>
            <w:pPr>
              <w:spacing w:lineRule="auto"/>
              <w:jc w:val="left"/>
            </w:pPr>
            <w:r>
              <w:rPr/>
              <w:t xml:space="preserve">50.9</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w:t>
            </w:r>
          </w:p>
        </w:tc>
        <w:tc>
          <w:tcPr>
            <w:tcBorders>
              <w:bottom w:val="single" w:sz="8" w:space="0" w:color="000000"/>
              <w:right w:val="single" w:sz="8" w:space="0" w:color="000000"/>
            </w:tcBorders>
            <w:vAlign w:val="top"/>
          </w:tcPr>
          <w:p>
            <w:pPr>
              <w:spacing w:lineRule="auto"/>
              <w:jc w:val="left"/>
            </w:pPr>
            <w:r>
              <w:rPr/>
              <w:t xml:space="preserve">-</w:t>
            </w:r>
          </w:p>
        </w:tc>
        <w:tc>
          <w:tcPr>
            <w:tcBorders>
              <w:bottom w:val="single" w:sz="8" w:space="0" w:color="000000"/>
              <w:right w:val="single" w:sz="8" w:space="0" w:color="000000"/>
            </w:tcBorders>
            <w:vAlign w:val="top"/>
          </w:tcPr>
          <w:p>
            <w:pPr>
              <w:spacing w:lineRule="auto"/>
              <w:jc w:val="left"/>
            </w:pPr>
            <w:r>
              <w:rPr/>
              <w:t xml:space="preserve">162.6</w:t>
            </w:r>
          </w:p>
        </w:tc>
        <w:tc>
          <w:tcPr>
            <w:tcBorders>
              <w:bottom w:val="single" w:sz="8" w:space="0" w:color="000000"/>
              <w:right w:val="single" w:sz="8" w:space="0" w:color="000000"/>
            </w:tcBorders>
            <w:vAlign w:val="top"/>
          </w:tcPr>
          <w:p>
            <w:pPr>
              <w:spacing w:lineRule="auto"/>
              <w:jc w:val="left"/>
            </w:pPr>
            <w:r>
              <w:rPr/>
              <w:t xml:space="preserve">263.5</w:t>
            </w:r>
          </w:p>
        </w:tc>
        <w:tc>
          <w:tcPr>
            <w:tcBorders>
              <w:bottom w:val="single" w:sz="8" w:space="0" w:color="000000"/>
              <w:right w:val="single" w:sz="8" w:space="0" w:color="000000"/>
            </w:tcBorders>
            <w:vAlign w:val="top"/>
          </w:tcPr>
          <w:p>
            <w:pPr>
              <w:spacing w:lineRule="auto"/>
              <w:jc w:val="left"/>
            </w:pPr>
            <w:r>
              <w:rPr/>
              <w:t xml:space="preserve">334.5</w:t>
            </w:r>
          </w:p>
        </w:tc>
        <w:tc>
          <w:tcPr>
            <w:tcBorders>
              <w:bottom w:val="single" w:sz="8" w:space="0" w:color="000000"/>
              <w:right w:val="single" w:sz="8" w:space="0" w:color="000000"/>
            </w:tcBorders>
            <w:vAlign w:val="top"/>
          </w:tcPr>
          <w:p>
            <w:pPr>
              <w:spacing w:lineRule="auto"/>
              <w:jc w:val="left"/>
            </w:pPr>
            <w:r>
              <w:rPr/>
              <w:t xml:space="preserve">370.0</w:t>
            </w:r>
          </w:p>
        </w:tc>
        <w:tc>
          <w:tcPr>
            <w:tcBorders>
              <w:bottom w:val="single" w:sz="8" w:space="0" w:color="000000"/>
              <w:right w:val="single" w:sz="8" w:space="0" w:color="000000"/>
            </w:tcBorders>
            <w:vAlign w:val="top"/>
          </w:tcPr>
          <w:p>
            <w:pPr>
              <w:spacing w:lineRule="auto"/>
              <w:jc w:val="left"/>
            </w:pPr>
            <w:r>
              <w:rPr/>
              <w:t xml:space="preserve">355.0</w:t>
            </w:r>
          </w:p>
        </w:tc>
        <w:tc>
          <w:tcPr>
            <w:tcBorders>
              <w:bottom w:val="single" w:sz="8" w:space="0" w:color="000000"/>
              <w:right w:val="single" w:sz="8" w:space="0" w:color="000000"/>
            </w:tcBorders>
            <w:vAlign w:val="top"/>
          </w:tcPr>
          <w:p>
            <w:pPr>
              <w:spacing w:lineRule="auto"/>
              <w:jc w:val="left"/>
            </w:pPr>
            <w:r>
              <w:rPr/>
              <w:t xml:space="preserve">94.04</w:t>
            </w:r>
          </w:p>
        </w:tc>
        <w:tc>
          <w:tcPr>
            <w:tcBorders>
              <w:bottom w:val="single" w:sz="8" w:space="0" w:color="000000"/>
              <w:right w:val="single" w:sz="8" w:space="0" w:color="000000"/>
            </w:tcBorders>
            <w:vAlign w:val="top"/>
          </w:tcPr>
          <w:p>
            <w:pPr>
              <w:spacing w:lineRule="auto"/>
              <w:jc w:val="left"/>
            </w:pPr>
            <w:r>
              <w:rPr/>
              <w:t xml:space="preserve">45.0</w:t>
            </w:r>
          </w:p>
        </w:tc>
      </w:tr>
    </w:tbl>
    <w:p>
      <w:pPr>
        <w:spacing w:lineRule="auto"/>
      </w:pPr>
    </w:p>
    <w:p>
      <w:pPr>
        <w:spacing w:after="220" w:lineRule="auto"/>
      </w:pPr>
      <w:r>
        <w:rPr/>
        <w:t xml:space="preserve">PPC: poly(propylene carbonate); PP: polypropylene; MAH: maleic anhydride; St: styrene.</w:t>
      </w:r>
    </w:p>
    <w:p>
      <w:pPr>
        <w:spacing w:lineRule="auto"/>
        <w:jc w:val="center"/>
      </w:pPr>
      <w:r>
        <w:rPr/>
        <w:drawing>
          <wp:inline distB="0" distL="0" distR="0" distT="0">
            <wp:extent cx="5486400" cy="1690072"/>
            <wp:effectExtent b="0" l="0" r="0" t="0"/>
            <wp:docPr id="6" name="image-d809717e431b6bd97167ad1bcdbf55e30b9645de.jpg"/>
            <a:graphic>
              <a:graphicData uri="http://schemas.openxmlformats.org/drawingml/2006/picture">
                <pic:pic>
                  <pic:nvPicPr>
                    <pic:cNvPr id="6" name="image-d809717e431b6bd97167ad1bcdbf55e30b9645de.jpg" descr=""/>
                    <pic:cNvPicPr/>
                  </pic:nvPicPr>
                  <pic:blipFill>
                    <a:blip r:embed="rId10" cstate="print"/>
                    <a:srcRect b="0" l="0" r="0" t="0"/>
                    <a:stretch>
                      <a:fillRect/>
                    </a:stretch>
                  </pic:blipFill>
                  <pic:spPr>
                    <a:xfrm>
                      <a:off x="0" y="0"/>
                      <a:ext cx="5486400" cy="1690072"/>
                    </a:xfrm>
                    <a:prstGeom prst="rect"/>
                  </pic:spPr>
                </pic:pic>
              </a:graphicData>
            </a:graphic>
          </wp:inline>
        </w:drawing>
      </w:r>
    </w:p>
    <w:p>
      <w:pPr>
        <w:spacing w:lineRule="auto"/>
      </w:pPr>
      <w:r>
        <w:rPr/>
        <w:t xml:space="preserve">Figure 6. (a) TG and (b) DTG curves of PPC, PP, and the PPC/PP slices.</w:t>
      </w:r>
    </w:p>
    <w:p>
      <w:pPr>
        <w:spacing w:lineRule="auto"/>
      </w:pPr>
      <w:r>
        <w:rPr/>
        <w:t xml:space="preserve">Table 3. Degradation rate of PPC, PP, and the PPC/PP slices.</w:t>
      </w:r>
    </w:p>
    <w:tbl>
      <w:tblPr>
        <w:tblStyle w:val="TableGrid"/>
        <w:jc w:val="center"/>
        <w:tblCellSpacing w:w="0" w:type="dxa"/>
        <w:tblBorders/>
        <w:tblCellMar>
          <w:top w:type="dxa" w:w="80"/>
          <w:left w:type="dxa" w:w="160"/>
          <w:bottom w:type="dxa" w:w="80"/>
          <w:right w:type="dxa" w:w="160"/>
        </w:tblCellMar>
      </w:tblPr>
      <w:tblGrid>
        <w:gridCol w:w="1440"/>
        <w:gridCol w:w="1440"/>
        <w:gridCol w:w="1440"/>
        <w:gridCol w:w="1440"/>
        <w:gridCol w:w="1440"/>
        <w:gridCol w:w="144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Materials</w:t>
            </w:r>
          </w:p>
        </w:tc>
        <w:tc>
          <w:tcPr>
            <w:tcBorders>
              <w:top w:val="single" w:sz="8" w:space="0" w:color="000000"/>
              <w:bottom w:val="single" w:sz="8" w:space="0" w:color="000000"/>
              <w:right w:val="single" w:sz="8" w:space="0" w:color="000000"/>
            </w:tcBorders>
            <w:vAlign w:val="top"/>
          </w:tcPr>
          <w:p>
            <w:pPr>
              <w:spacing w:lineRule="auto"/>
              <w:jc w:val="left"/>
            </w:pPr>
            <w:r>
              <w:rPr/>
              <w:t xml:space="preserve">Degradation rate after 6 days (%)</w:t>
            </w:r>
          </w:p>
        </w:tc>
        <w:tc>
          <w:tcPr>
            <w:tcBorders>
              <w:top w:val="single" w:sz="8" w:space="0" w:color="000000"/>
              <w:bottom w:val="single" w:sz="8" w:space="0" w:color="000000"/>
              <w:right w:val="single" w:sz="8" w:space="0" w:color="000000"/>
            </w:tcBorders>
            <w:vAlign w:val="top"/>
          </w:tcPr>
          <w:p>
            <w:pPr>
              <w:spacing w:lineRule="auto"/>
              <w:jc w:val="left"/>
            </w:pPr>
            <w:r>
              <w:rPr/>
              <w:t xml:space="preserve">Degradation rate after 12 days (%)</w:t>
            </w:r>
          </w:p>
        </w:tc>
        <w:tc>
          <w:tcPr>
            <w:tcBorders>
              <w:top w:val="single" w:sz="8" w:space="0" w:color="000000"/>
              <w:bottom w:val="single" w:sz="8" w:space="0" w:color="000000"/>
              <w:right w:val="single" w:sz="8" w:space="0" w:color="000000"/>
            </w:tcBorders>
            <w:vAlign w:val="top"/>
          </w:tcPr>
          <w:p>
            <w:pPr>
              <w:spacing w:lineRule="auto"/>
              <w:jc w:val="left"/>
            </w:pPr>
            <w:r>
              <w:rPr/>
              <w:t xml:space="preserve">Degradation rate after 18 days (%)</w:t>
            </w:r>
          </w:p>
        </w:tc>
        <w:tc>
          <w:tcPr>
            <w:tcBorders>
              <w:top w:val="single" w:sz="8" w:space="0" w:color="000000"/>
              <w:bottom w:val="single" w:sz="8" w:space="0" w:color="000000"/>
              <w:right w:val="single" w:sz="8" w:space="0" w:color="000000"/>
            </w:tcBorders>
            <w:vAlign w:val="top"/>
          </w:tcPr>
          <w:p>
            <w:pPr>
              <w:spacing w:lineRule="auto"/>
              <w:jc w:val="left"/>
            </w:pPr>
            <w:r>
              <w:rPr/>
              <w:t xml:space="preserve">Degradation rate after 24 days (%)</w:t>
            </w:r>
          </w:p>
        </w:tc>
        <w:tc>
          <w:tcPr>
            <w:tcBorders>
              <w:top w:val="single" w:sz="8" w:space="0" w:color="000000"/>
              <w:bottom w:val="single" w:sz="8" w:space="0" w:color="000000"/>
              <w:right w:val="single" w:sz="8" w:space="0" w:color="000000"/>
            </w:tcBorders>
            <w:vAlign w:val="top"/>
          </w:tcPr>
          <w:p>
            <w:pPr>
              <w:spacing w:lineRule="auto"/>
              <w:jc w:val="left"/>
            </w:pPr>
            <w:r>
              <w:rPr/>
              <w:t xml:space="preserve">Degradation rate after 30 days (%)</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PPC</w:t>
            </w:r>
          </w:p>
        </w:tc>
        <w:tc>
          <w:tcPr>
            <w:tcBorders>
              <w:bottom w:val="single" w:sz="8" w:space="0" w:color="000000"/>
              <w:right w:val="single" w:sz="8" w:space="0" w:color="000000"/>
            </w:tcBorders>
            <w:vAlign w:val="top"/>
          </w:tcPr>
          <w:p>
            <w:pPr>
              <w:spacing w:lineRule="auto"/>
              <w:jc w:val="left"/>
            </w:pPr>
            <w:r>
              <w:rPr/>
              <w:t xml:space="preserve">3.24</w:t>
            </w:r>
          </w:p>
        </w:tc>
        <w:tc>
          <w:tcPr>
            <w:tcBorders>
              <w:bottom w:val="single" w:sz="8" w:space="0" w:color="000000"/>
              <w:right w:val="single" w:sz="8" w:space="0" w:color="000000"/>
            </w:tcBorders>
            <w:vAlign w:val="top"/>
          </w:tcPr>
          <w:p>
            <w:pPr>
              <w:spacing w:lineRule="auto"/>
              <w:jc w:val="left"/>
            </w:pPr>
            <w:r>
              <w:rPr/>
              <w:t xml:space="preserve">3.68</w:t>
            </w:r>
          </w:p>
        </w:tc>
        <w:tc>
          <w:tcPr>
            <w:tcBorders>
              <w:bottom w:val="single" w:sz="8" w:space="0" w:color="000000"/>
              <w:right w:val="single" w:sz="8" w:space="0" w:color="000000"/>
            </w:tcBorders>
            <w:vAlign w:val="top"/>
          </w:tcPr>
          <w:p>
            <w:pPr>
              <w:spacing w:lineRule="auto"/>
              <w:jc w:val="left"/>
            </w:pPr>
            <w:r>
              <w:rPr/>
              <w:t xml:space="preserve">3.96</w:t>
            </w:r>
          </w:p>
        </w:tc>
        <w:tc>
          <w:tcPr>
            <w:tcBorders>
              <w:bottom w:val="single" w:sz="8" w:space="0" w:color="000000"/>
              <w:right w:val="single" w:sz="8" w:space="0" w:color="000000"/>
            </w:tcBorders>
            <w:vAlign w:val="top"/>
          </w:tcPr>
          <w:p>
            <w:pPr>
              <w:spacing w:lineRule="auto"/>
              <w:jc w:val="left"/>
            </w:pPr>
            <w:r>
              <w:rPr/>
              <w:t xml:space="preserve">4.11</w:t>
            </w:r>
          </w:p>
        </w:tc>
        <w:tc>
          <w:tcPr>
            <w:tcBorders>
              <w:bottom w:val="single" w:sz="8" w:space="0" w:color="000000"/>
              <w:right w:val="single" w:sz="8" w:space="0" w:color="000000"/>
            </w:tcBorders>
            <w:vAlign w:val="top"/>
          </w:tcPr>
          <w:p>
            <w:pPr>
              <w:spacing w:lineRule="auto"/>
              <w:jc w:val="left"/>
            </w:pPr>
            <w:r>
              <w:rPr/>
              <w:t xml:space="preserve">4.30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PPC/PP (80/20)</w:t>
            </w:r>
          </w:p>
        </w:tc>
        <w:tc>
          <w:tcPr>
            <w:tcBorders>
              <w:bottom w:val="single" w:sz="8" w:space="0" w:color="000000"/>
              <w:right w:val="single" w:sz="8" w:space="0" w:color="000000"/>
            </w:tcBorders>
            <w:vAlign w:val="top"/>
          </w:tcPr>
          <w:p>
            <w:pPr>
              <w:spacing w:lineRule="auto"/>
              <w:jc w:val="left"/>
            </w:pPr>
            <w:r>
              <w:rPr/>
              <w:t xml:space="preserve">2.89</w:t>
            </w:r>
          </w:p>
        </w:tc>
        <w:tc>
          <w:tcPr>
            <w:tcBorders>
              <w:bottom w:val="single" w:sz="8" w:space="0" w:color="000000"/>
              <w:right w:val="single" w:sz="8" w:space="0" w:color="000000"/>
            </w:tcBorders>
            <w:vAlign w:val="top"/>
          </w:tcPr>
          <w:p>
            <w:pPr>
              <w:spacing w:lineRule="auto"/>
              <w:jc w:val="left"/>
            </w:pPr>
            <w:r>
              <w:rPr/>
              <w:t xml:space="preserve">3.25</w:t>
            </w:r>
          </w:p>
        </w:tc>
        <w:tc>
          <w:tcPr>
            <w:tcBorders>
              <w:bottom w:val="single" w:sz="8" w:space="0" w:color="000000"/>
              <w:right w:val="single" w:sz="8" w:space="0" w:color="000000"/>
            </w:tcBorders>
            <w:vAlign w:val="top"/>
          </w:tcPr>
          <w:p>
            <w:pPr>
              <w:spacing w:lineRule="auto"/>
              <w:jc w:val="left"/>
            </w:pPr>
            <w:r>
              <w:rPr/>
              <w:t xml:space="preserve">3.43</w:t>
            </w:r>
          </w:p>
        </w:tc>
        <w:tc>
          <w:tcPr>
            <w:tcBorders>
              <w:bottom w:val="single" w:sz="8" w:space="0" w:color="000000"/>
              <w:right w:val="single" w:sz="8" w:space="0" w:color="000000"/>
            </w:tcBorders>
            <w:vAlign w:val="top"/>
          </w:tcPr>
          <w:p>
            <w:pPr>
              <w:spacing w:lineRule="auto"/>
              <w:jc w:val="left"/>
            </w:pPr>
            <w:r>
              <w:rPr/>
              <w:t xml:space="preserve">3.62</w:t>
            </w:r>
          </w:p>
        </w:tc>
        <w:tc>
          <w:tcPr>
            <w:tcBorders>
              <w:bottom w:val="single" w:sz="8" w:space="0" w:color="000000"/>
              <w:right w:val="single" w:sz="8" w:space="0" w:color="000000"/>
            </w:tcBorders>
            <w:vAlign w:val="top"/>
          </w:tcPr>
          <w:p>
            <w:pPr>
              <w:spacing w:lineRule="auto"/>
              <w:jc w:val="left"/>
            </w:pPr>
            <w:r>
              <w:rPr/>
              <w:t xml:space="preserve">3.82</w:t>
            </w:r>
          </w:p>
        </w:tc>
      </w:tr>
      <w:tr>
        <w:trPr>
          <w:cantSplit/>
        </w:trPr>
        <w:tc>
          <w:tcPr>
            <w:tcBorders>
              <w:left w:val="single" w:sz="8" w:space="0" w:color="000000"/>
              <w:bottom w:val="single" w:sz="8" w:space="0" w:color="000000"/>
              <w:right w:val="single" w:sz="8" w:space="0" w:color="000000"/>
            </w:tcBorders>
            <w:vAlign w:val="top"/>
          </w:tcPr>
          <w:p>
            <w:pPr>
              <w:spacing w:lineRule="auto"/>
              <w:jc w:val="left"/>
            </w:pPr>
            <m:oMathPara>
              <m:oMath>
                <m:m>
                  <m:mPr>
                    <m:plcHide m:val="1"/>
                    <m:cGpRule m:val="4"/>
                    <m:mcs>
                      <m:mc>
                        <m:mcPr>
                          <m:count m:val="1"/>
                          <m:mcJc m:val="right"/>
                        </m:mcPr>
                      </m:mc>
                      <m:mc>
                        <m:mcPr>
                          <m:count m:val="1"/>
                          <m:mcJc m:val="left"/>
                        </m:mcPr>
                      </m:mc>
                    </m:mcs>
                    <m:ctrlPr>
                      <w:rPr>
                        <w:rFonts w:ascii="Cambria Math" w:hAnsi="Cambria Math"/>
                        <w:i/>
                      </w:rPr>
                    </m:ctrlPr>
                  </m:mPr>
                  <m:mr>
                    <m:e/>
                    <m:e>
                      <m:r>
                        <m:rPr>
                          <m:nor/>
                        </m:rPr>
                        <m:t> PPC/PP-g-(MAH-co-St) </m:t>
                      </m:r>
                    </m:e>
                  </m:mr>
                  <m:mr>
                    <m:e/>
                    <m:e>
                      <m:d>
                        <m:dPr>
                          <m:begChr m:val="("/>
                          <m:endChr m:val=")"/>
                          <m:ctrlPr>
                            <w:rPr>
                              <w:rFonts w:ascii="Cambria Math" w:hAnsi="Cambria Math"/>
                            </w:rPr>
                          </m:ctrlPr>
                        </m:dPr>
                        <m:e>
                          <m:sSub>
                            <m:sSubPr/>
                            <m:e>
                              <m:r>
                                <m:rPr>
                                  <m:sty m:val="i"/>
                                </m:rPr>
                                <m:t>G</m:t>
                              </m:r>
                            </m:e>
                            <m:sub>
                              <m:r>
                                <m:rPr>
                                  <m:nor/>
                                </m:rPr>
                                <m:t>MAH </m:t>
                              </m:r>
                            </m:sub>
                          </m:sSub>
                          <m:r>
                            <m:rPr>
                              <m:sty m:val="p"/>
                            </m:rPr>
                            <m:t>=</m:t>
                          </m:r>
                          <m:r>
                            <m:rPr>
                              <m:sty m:val="p"/>
                            </m:rPr>
                            <m:t>0.94</m:t>
                          </m:r>
                          <m:r>
                            <m:rPr>
                              <m:sty m:val="p"/>
                            </m:rPr>
                            <m:t>%</m:t>
                          </m:r>
                        </m:e>
                      </m:d>
                      <m:r>
                        <m:rPr>
                          <m:sty m:val="p"/>
                        </m:rPr>
                        <m:t>/</m:t>
                      </m:r>
                      <m:r>
                        <m:rPr>
                          <m:sty m:val="p"/>
                        </m:rPr>
                        <m:t>PP</m:t>
                      </m:r>
                      <m:r>
                        <m:rPr>
                          <m:sty m:val="p"/>
                        </m:rPr>
                        <m:t>(</m:t>
                      </m:r>
                      <m:r>
                        <m:rPr>
                          <m:sty m:val="p"/>
                        </m:rPr>
                        <m:t>80</m:t>
                      </m:r>
                      <m:r>
                        <m:rPr>
                          <m:sty m:val="p"/>
                        </m:rPr>
                        <m:t>/</m:t>
                      </m:r>
                      <m:r>
                        <m:rPr>
                          <m:sty m:val="p"/>
                        </m:rPr>
                        <m:t>2</m:t>
                      </m:r>
                      <m:r>
                        <m:rPr>
                          <m:sty m:val="p"/>
                        </m:rPr>
                        <m:t>/</m:t>
                      </m:r>
                      <m:r>
                        <m:rPr>
                          <m:sty m:val="p"/>
                        </m:rPr>
                        <m:t>20</m:t>
                      </m:r>
                      <m:r>
                        <m:rPr>
                          <m:sty m:val="p"/>
                        </m:rPr>
                        <m:t>)</m:t>
                      </m:r>
                    </m:e>
                  </m:mr>
                </m:m>
              </m:oMath>
            </m:oMathPara>
          </w:p>
        </w:tc>
        <w:tc>
          <w:tcPr>
            <w:tcBorders>
              <w:bottom w:val="single" w:sz="8" w:space="0" w:color="000000"/>
              <w:right w:val="single" w:sz="8" w:space="0" w:color="000000"/>
            </w:tcBorders>
            <w:vAlign w:val="top"/>
          </w:tcPr>
          <w:p>
            <w:pPr>
              <w:spacing w:lineRule="auto"/>
              <w:jc w:val="left"/>
            </w:pPr>
            <w:r>
              <w:rPr/>
              <w:t xml:space="preserve">2.89</w:t>
            </w:r>
          </w:p>
        </w:tc>
        <w:tc>
          <w:tcPr>
            <w:tcBorders>
              <w:bottom w:val="single" w:sz="8" w:space="0" w:color="000000"/>
              <w:right w:val="single" w:sz="8" w:space="0" w:color="000000"/>
            </w:tcBorders>
            <w:vAlign w:val="top"/>
          </w:tcPr>
          <w:p>
            <w:pPr>
              <w:spacing w:lineRule="auto"/>
              <w:jc w:val="left"/>
            </w:pPr>
            <w:r>
              <w:rPr/>
              <w:t xml:space="preserve">3.26</w:t>
            </w:r>
          </w:p>
        </w:tc>
        <w:tc>
          <w:tcPr>
            <w:tcBorders>
              <w:bottom w:val="single" w:sz="8" w:space="0" w:color="000000"/>
              <w:right w:val="single" w:sz="8" w:space="0" w:color="000000"/>
            </w:tcBorders>
            <w:vAlign w:val="top"/>
          </w:tcPr>
          <w:p>
            <w:pPr>
              <w:spacing w:lineRule="auto"/>
              <w:jc w:val="left"/>
            </w:pPr>
            <w:r>
              <w:rPr/>
              <w:t xml:space="preserve">3.44</w:t>
            </w:r>
          </w:p>
        </w:tc>
        <w:tc>
          <w:tcPr>
            <w:tcBorders>
              <w:bottom w:val="single" w:sz="8" w:space="0" w:color="000000"/>
              <w:right w:val="single" w:sz="8" w:space="0" w:color="000000"/>
            </w:tcBorders>
            <w:vAlign w:val="top"/>
          </w:tcPr>
          <w:p>
            <w:pPr>
              <w:spacing w:lineRule="auto"/>
              <w:jc w:val="left"/>
            </w:pPr>
            <w:r>
              <w:rPr/>
              <w:t xml:space="preserve">3.65</w:t>
            </w:r>
          </w:p>
        </w:tc>
        <w:tc>
          <w:tcPr>
            <w:tcBorders>
              <w:bottom w:val="single" w:sz="8" w:space="0" w:color="000000"/>
              <w:right w:val="single" w:sz="8" w:space="0" w:color="000000"/>
            </w:tcBorders>
            <w:vAlign w:val="top"/>
          </w:tcPr>
          <w:p>
            <w:pPr>
              <w:spacing w:lineRule="auto"/>
              <w:jc w:val="left"/>
            </w:pPr>
            <w:r>
              <w:rPr/>
              <w:t xml:space="preserve">3.84</w:t>
            </w:r>
          </w:p>
        </w:tc>
      </w:tr>
      <w:tr>
        <w:trPr>
          <w:cantSplit/>
        </w:trPr>
        <w:tc>
          <w:tcPr>
            <w:tcBorders>
              <w:left w:val="single" w:sz="8" w:space="0" w:color="000000"/>
              <w:bottom w:val="single" w:sz="8" w:space="0" w:color="000000"/>
              <w:right w:val="single" w:sz="8" w:space="0" w:color="000000"/>
            </w:tcBorders>
            <w:vAlign w:val="top"/>
          </w:tcPr>
          <w:p>
            <w:pPr>
              <w:spacing w:lineRule="auto"/>
              <w:jc w:val="left"/>
            </w:pPr>
            <m:oMathPara>
              <m:oMath>
                <m:m>
                  <m:mPr>
                    <m:plcHide m:val="1"/>
                    <m:cGpRule m:val="4"/>
                    <m:mcs>
                      <m:mc>
                        <m:mcPr>
                          <m:count m:val="1"/>
                          <m:mcJc m:val="right"/>
                        </m:mcPr>
                      </m:mc>
                      <m:mc>
                        <m:mcPr>
                          <m:count m:val="1"/>
                          <m:mcJc m:val="left"/>
                        </m:mcPr>
                      </m:mc>
                    </m:mcs>
                    <m:ctrlPr>
                      <w:rPr>
                        <w:rFonts w:ascii="Cambria Math" w:hAnsi="Cambria Math"/>
                        <w:i/>
                      </w:rPr>
                    </m:ctrlPr>
                  </m:mPr>
                  <m:mr>
                    <m:e/>
                    <m:e>
                      <m:r>
                        <m:rPr>
                          <m:nor/>
                        </m:rPr>
                        <m:t> PPC/PP-g-(MAH-co-St) </m:t>
                      </m:r>
                    </m:e>
                  </m:mr>
                  <m:mr>
                    <m:e/>
                    <m:e>
                      <m:d>
                        <m:dPr>
                          <m:begChr m:val="("/>
                          <m:endChr m:val=")"/>
                          <m:ctrlPr>
                            <w:rPr>
                              <w:rFonts w:ascii="Cambria Math" w:hAnsi="Cambria Math"/>
                            </w:rPr>
                          </m:ctrlPr>
                        </m:dPr>
                        <m:e>
                          <m:sSub>
                            <m:sSubPr/>
                            <m:e>
                              <m:r>
                                <m:rPr>
                                  <m:sty m:val="i"/>
                                </m:rPr>
                                <m:t>G</m:t>
                              </m:r>
                            </m:e>
                            <m:sub>
                              <m:r>
                                <m:rPr>
                                  <m:sty m:val="p"/>
                                </m:rPr>
                                <m:t>MAH</m:t>
                              </m:r>
                            </m:sub>
                          </m:sSub>
                          <m:r>
                            <m:rPr>
                              <m:sty m:val="p"/>
                            </m:rPr>
                            <m:t>=</m:t>
                          </m:r>
                          <m:r>
                            <m:rPr>
                              <m:sty m:val="p"/>
                            </m:rPr>
                            <m:t>1.51</m:t>
                          </m:r>
                          <m:r>
                            <m:rPr>
                              <m:sty m:val="p"/>
                            </m:rPr>
                            <m:t>%</m:t>
                          </m:r>
                        </m:e>
                      </m:d>
                      <m:r>
                        <m:rPr>
                          <m:sty m:val="p"/>
                        </m:rPr>
                        <m:t>/</m:t>
                      </m:r>
                      <m:r>
                        <m:rPr>
                          <m:sty m:val="p"/>
                        </m:rPr>
                        <m:t>PP</m:t>
                      </m:r>
                      <m:r>
                        <m:rPr>
                          <m:sty m:val="p"/>
                        </m:rPr>
                        <m:t>(</m:t>
                      </m:r>
                      <m:r>
                        <m:rPr>
                          <m:sty m:val="p"/>
                        </m:rPr>
                        <m:t>80</m:t>
                      </m:r>
                      <m:r>
                        <m:rPr>
                          <m:sty m:val="p"/>
                        </m:rPr>
                        <m:t>/</m:t>
                      </m:r>
                      <m:r>
                        <m:rPr>
                          <m:sty m:val="p"/>
                        </m:rPr>
                        <m:t>2</m:t>
                      </m:r>
                      <m:r>
                        <m:rPr>
                          <m:sty m:val="p"/>
                        </m:rPr>
                        <m:t>/</m:t>
                      </m:r>
                      <m:r>
                        <m:rPr>
                          <m:sty m:val="p"/>
                        </m:rPr>
                        <m:t>20</m:t>
                      </m:r>
                      <m:r>
                        <m:rPr>
                          <m:sty m:val="p"/>
                        </m:rPr>
                        <m:t>)</m:t>
                      </m:r>
                    </m:e>
                  </m:mr>
                </m:m>
              </m:oMath>
            </m:oMathPara>
          </w:p>
        </w:tc>
        <w:tc>
          <w:tcPr>
            <w:tcBorders>
              <w:bottom w:val="single" w:sz="8" w:space="0" w:color="000000"/>
              <w:right w:val="single" w:sz="8" w:space="0" w:color="000000"/>
            </w:tcBorders>
            <w:vAlign w:val="top"/>
          </w:tcPr>
          <w:p>
            <w:pPr>
              <w:spacing w:lineRule="auto"/>
              <w:jc w:val="left"/>
            </w:pPr>
            <w:r>
              <w:rPr/>
              <w:t xml:space="preserve">2.91</w:t>
            </w:r>
          </w:p>
        </w:tc>
        <w:tc>
          <w:tcPr>
            <w:tcBorders>
              <w:bottom w:val="single" w:sz="8" w:space="0" w:color="000000"/>
              <w:right w:val="single" w:sz="8" w:space="0" w:color="000000"/>
            </w:tcBorders>
            <w:vAlign w:val="top"/>
          </w:tcPr>
          <w:p>
            <w:pPr>
              <w:spacing w:lineRule="auto"/>
              <w:jc w:val="left"/>
            </w:pPr>
            <w:r>
              <w:rPr/>
              <w:t xml:space="preserve">3.30</w:t>
            </w:r>
          </w:p>
        </w:tc>
        <w:tc>
          <w:tcPr>
            <w:tcBorders>
              <w:bottom w:val="single" w:sz="8" w:space="0" w:color="000000"/>
              <w:right w:val="single" w:sz="8" w:space="0" w:color="000000"/>
            </w:tcBorders>
            <w:vAlign w:val="top"/>
          </w:tcPr>
          <w:p>
            <w:pPr>
              <w:spacing w:lineRule="auto"/>
              <w:jc w:val="left"/>
            </w:pPr>
            <w:r>
              <w:rPr/>
              <w:t xml:space="preserve">3.49</w:t>
            </w:r>
          </w:p>
        </w:tc>
        <w:tc>
          <w:tcPr>
            <w:tcBorders>
              <w:bottom w:val="single" w:sz="8" w:space="0" w:color="000000"/>
              <w:right w:val="single" w:sz="8" w:space="0" w:color="000000"/>
            </w:tcBorders>
            <w:vAlign w:val="top"/>
          </w:tcPr>
          <w:p>
            <w:pPr>
              <w:spacing w:lineRule="auto"/>
              <w:jc w:val="left"/>
            </w:pPr>
            <w:r>
              <w:rPr/>
              <w:t xml:space="preserve">3.70</w:t>
            </w:r>
          </w:p>
        </w:tc>
        <w:tc>
          <w:tcPr>
            <w:tcBorders>
              <w:bottom w:val="single" w:sz="8" w:space="0" w:color="000000"/>
              <w:right w:val="single" w:sz="8" w:space="0" w:color="000000"/>
            </w:tcBorders>
            <w:vAlign w:val="top"/>
          </w:tcPr>
          <w:p>
            <w:pPr>
              <w:spacing w:lineRule="auto"/>
              <w:jc w:val="left"/>
            </w:pPr>
            <w:r>
              <w:rPr/>
              <w:t xml:space="preserve">3.91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m:oMathPara>
              <m:oMath>
                <m:m>
                  <m:mPr>
                    <m:plcHide m:val="1"/>
                    <m:cGpRule m:val="4"/>
                    <m:mcs>
                      <m:mc>
                        <m:mcPr>
                          <m:count m:val="1"/>
                          <m:mcJc m:val="right"/>
                        </m:mcPr>
                      </m:mc>
                      <m:mc>
                        <m:mcPr>
                          <m:count m:val="1"/>
                          <m:mcJc m:val="left"/>
                        </m:mcPr>
                      </m:mc>
                    </m:mcs>
                    <m:ctrlPr>
                      <w:rPr>
                        <w:rFonts w:ascii="Cambria Math" w:hAnsi="Cambria Math"/>
                        <w:i/>
                      </w:rPr>
                    </m:ctrlPr>
                  </m:mPr>
                  <m:mr>
                    <m:e/>
                    <m:e>
                      <m:r>
                        <m:rPr>
                          <m:nor/>
                        </m:rPr>
                        <m:t> PPC/PP-g-(MAH-co-St) </m:t>
                      </m:r>
                    </m:e>
                  </m:mr>
                  <m:mr>
                    <m:e/>
                    <m:e>
                      <m:d>
                        <m:dPr>
                          <m:begChr m:val="("/>
                          <m:endChr m:val=")"/>
                          <m:ctrlPr>
                            <w:rPr>
                              <w:rFonts w:ascii="Cambria Math" w:hAnsi="Cambria Math"/>
                            </w:rPr>
                          </m:ctrlPr>
                        </m:dPr>
                        <m:e>
                          <m:sSub>
                            <m:sSubPr/>
                            <m:e>
                              <m:r>
                                <m:rPr>
                                  <m:sty m:val="i"/>
                                </m:rPr>
                                <m:t>G</m:t>
                              </m:r>
                            </m:e>
                            <m:sub>
                              <m:r>
                                <m:rPr>
                                  <m:sty m:val="p"/>
                                </m:rPr>
                                <m:t>MAH</m:t>
                              </m:r>
                            </m:sub>
                          </m:sSub>
                          <m:r>
                            <m:rPr>
                              <m:sty m:val="p"/>
                            </m:rPr>
                            <m:t>=</m:t>
                          </m:r>
                          <m:r>
                            <m:rPr>
                              <m:sty m:val="p"/>
                            </m:rPr>
                            <m:t>1.51</m:t>
                          </m:r>
                          <m:r>
                            <m:rPr>
                              <m:sty m:val="p"/>
                            </m:rPr>
                            <m:t>%</m:t>
                          </m:r>
                        </m:e>
                      </m:d>
                      <m:r>
                        <m:rPr>
                          <m:sty m:val="p"/>
                        </m:rPr>
                        <m:t>/</m:t>
                      </m:r>
                      <m:r>
                        <m:rPr>
                          <m:sty m:val="p"/>
                        </m:rPr>
                        <m:t>PP</m:t>
                      </m:r>
                      <m:r>
                        <m:rPr>
                          <m:sty m:val="p"/>
                        </m:rPr>
                        <m:t>(</m:t>
                      </m:r>
                      <m:r>
                        <m:rPr>
                          <m:sty m:val="p"/>
                        </m:rPr>
                        <m:t>80</m:t>
                      </m:r>
                      <m:r>
                        <m:rPr>
                          <m:sty m:val="p"/>
                        </m:rPr>
                        <m:t>/</m:t>
                      </m:r>
                      <m:r>
                        <m:rPr>
                          <m:sty m:val="p"/>
                        </m:rPr>
                        <m:t>8</m:t>
                      </m:r>
                      <m:r>
                        <m:rPr>
                          <m:sty m:val="p"/>
                        </m:rPr>
                        <m:t>/</m:t>
                      </m:r>
                      <m:r>
                        <m:rPr>
                          <m:sty m:val="p"/>
                        </m:rPr>
                        <m:t>20</m:t>
                      </m:r>
                      <m:r>
                        <m:rPr>
                          <m:sty m:val="p"/>
                        </m:rPr>
                        <m:t>)</m:t>
                      </m:r>
                    </m:e>
                  </m:mr>
                </m:m>
              </m:oMath>
            </m:oMathPara>
          </w:p>
        </w:tc>
        <w:tc>
          <w:tcPr>
            <w:tcBorders>
              <w:bottom w:val="single" w:sz="8" w:space="0" w:color="000000"/>
              <w:right w:val="single" w:sz="8" w:space="0" w:color="000000"/>
            </w:tcBorders>
            <w:vAlign w:val="top"/>
          </w:tcPr>
          <w:p>
            <w:pPr>
              <w:spacing w:lineRule="auto"/>
              <w:jc w:val="left"/>
            </w:pPr>
            <w:r>
              <w:rPr/>
              <w:t xml:space="preserve">2.71</w:t>
            </w:r>
          </w:p>
        </w:tc>
        <w:tc>
          <w:tcPr>
            <w:tcBorders>
              <w:bottom w:val="single" w:sz="8" w:space="0" w:color="000000"/>
              <w:right w:val="single" w:sz="8" w:space="0" w:color="000000"/>
            </w:tcBorders>
            <w:vAlign w:val="top"/>
          </w:tcPr>
          <w:p>
            <w:pPr>
              <w:spacing w:lineRule="auto"/>
              <w:jc w:val="left"/>
            </w:pPr>
            <w:r>
              <w:rPr/>
              <w:t xml:space="preserve">3.02</w:t>
            </w:r>
          </w:p>
        </w:tc>
        <w:tc>
          <w:tcPr>
            <w:tcBorders>
              <w:bottom w:val="single" w:sz="8" w:space="0" w:color="000000"/>
              <w:right w:val="single" w:sz="8" w:space="0" w:color="000000"/>
            </w:tcBorders>
            <w:vAlign w:val="top"/>
          </w:tcPr>
          <w:p>
            <w:pPr>
              <w:spacing w:lineRule="auto"/>
              <w:jc w:val="left"/>
            </w:pPr>
            <w:r>
              <w:rPr/>
              <w:t xml:space="preserve">3.21</w:t>
            </w:r>
          </w:p>
        </w:tc>
        <w:tc>
          <w:tcPr>
            <w:tcBorders>
              <w:bottom w:val="single" w:sz="8" w:space="0" w:color="000000"/>
              <w:right w:val="single" w:sz="8" w:space="0" w:color="000000"/>
            </w:tcBorders>
            <w:vAlign w:val="top"/>
          </w:tcPr>
          <w:p>
            <w:pPr>
              <w:spacing w:lineRule="auto"/>
              <w:jc w:val="left"/>
            </w:pPr>
            <w:r>
              <w:rPr/>
              <w:t xml:space="preserve">3.55</w:t>
            </w:r>
          </w:p>
        </w:tc>
        <w:tc>
          <w:tcPr>
            <w:tcBorders>
              <w:bottom w:val="single" w:sz="8" w:space="0" w:color="000000"/>
              <w:right w:val="single" w:sz="8" w:space="0" w:color="000000"/>
            </w:tcBorders>
            <w:vAlign w:val="top"/>
          </w:tcPr>
          <w:p>
            <w:pPr>
              <w:spacing w:lineRule="auto"/>
              <w:jc w:val="left"/>
            </w:pPr>
            <w:r>
              <w:rPr/>
              <w:t xml:space="preserve">3.71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w:t>
            </w:r>
          </w:p>
        </w:tc>
        <w:tc>
          <w:tcPr>
            <w:tcBorders>
              <w:bottom w:val="single" w:sz="8" w:space="0" w:color="000000"/>
              <w:right w:val="single" w:sz="8" w:space="0" w:color="000000"/>
            </w:tcBorders>
            <w:vAlign w:val="top"/>
          </w:tcPr>
          <w:p>
            <w:pPr>
              <w:spacing w:lineRule="auto"/>
              <w:jc w:val="left"/>
            </w:pPr>
            <w:r>
              <w:rPr/>
              <w:t xml:space="preserve">0</w:t>
            </w:r>
          </w:p>
        </w:tc>
        <w:tc>
          <w:tcPr>
            <w:tcBorders>
              <w:bottom w:val="single" w:sz="8" w:space="0" w:color="000000"/>
              <w:right w:val="single" w:sz="8" w:space="0" w:color="000000"/>
            </w:tcBorders>
            <w:vAlign w:val="top"/>
          </w:tcPr>
          <w:p>
            <w:pPr>
              <w:spacing w:lineRule="auto"/>
              <w:jc w:val="left"/>
            </w:pPr>
            <w:r>
              <w:rPr/>
              <w:t xml:space="preserve">0</w:t>
            </w:r>
          </w:p>
        </w:tc>
        <w:tc>
          <w:tcPr>
            <w:tcBorders>
              <w:bottom w:val="single" w:sz="8" w:space="0" w:color="000000"/>
              <w:right w:val="single" w:sz="8" w:space="0" w:color="000000"/>
            </w:tcBorders>
            <w:vAlign w:val="top"/>
          </w:tcPr>
          <w:p>
            <w:pPr>
              <w:spacing w:lineRule="auto"/>
              <w:jc w:val="left"/>
            </w:pPr>
            <w:r>
              <w:rPr/>
              <w:t xml:space="preserve">0</w:t>
            </w:r>
          </w:p>
        </w:tc>
        <w:tc>
          <w:tcPr>
            <w:tcBorders>
              <w:bottom w:val="single" w:sz="8" w:space="0" w:color="000000"/>
              <w:right w:val="single" w:sz="8" w:space="0" w:color="000000"/>
            </w:tcBorders>
            <w:vAlign w:val="top"/>
          </w:tcPr>
          <w:p>
            <w:pPr>
              <w:spacing w:lineRule="auto"/>
              <w:jc w:val="left"/>
            </w:pPr>
            <w:r>
              <w:rPr/>
              <w:t xml:space="preserve">0</w:t>
            </w:r>
          </w:p>
        </w:tc>
        <w:tc>
          <w:tcPr>
            <w:tcBorders>
              <w:bottom w:val="single" w:sz="8" w:space="0" w:color="000000"/>
              <w:right w:val="single" w:sz="8" w:space="0" w:color="000000"/>
            </w:tcBorders>
            <w:vAlign w:val="top"/>
          </w:tcPr>
          <w:p>
            <w:pPr>
              <w:spacing w:lineRule="auto"/>
              <w:jc w:val="left"/>
            </w:pPr>
            <w:r>
              <w:rPr/>
              <w:t xml:space="preserve">0</w:t>
            </w:r>
          </w:p>
        </w:tc>
      </w:tr>
    </w:tbl>
    <w:p>
      <w:pPr>
        <w:spacing w:lineRule="auto"/>
      </w:pPr>
    </w:p>
    <w:p>
      <w:pPr>
        <w:spacing w:after="220" w:lineRule="auto"/>
      </w:pPr>
      <w:r>
        <w:rPr/>
        <w:t xml:space="preserve">PPC: poly(propylene carbonate); PP: polypropylene; MAH: maleic anhydride; St: styrene.</w:t>
      </w:r>
    </w:p>
    <w:p>
      <w:pPr>
        <w:spacing w:lineRule="auto"/>
        <w:jc w:val="center"/>
      </w:pPr>
      <w:r>
        <w:rPr/>
        <w:drawing>
          <wp:inline distB="0" distL="0" distR="0" distT="0">
            <wp:extent cx="5486400" cy="1374554"/>
            <wp:effectExtent b="0" l="0" r="0" t="0"/>
            <wp:docPr id="7" name="image-d67790b73c3e623c09b2b000194971446e757b32.jpg"/>
            <a:graphic>
              <a:graphicData uri="http://schemas.openxmlformats.org/drawingml/2006/picture">
                <pic:pic>
                  <pic:nvPicPr>
                    <pic:cNvPr id="7" name="image-d67790b73c3e623c09b2b000194971446e757b32.jpg" descr=""/>
                    <pic:cNvPicPr/>
                  </pic:nvPicPr>
                  <pic:blipFill>
                    <a:blip r:embed="rId11" cstate="print"/>
                    <a:srcRect b="0" l="0" r="0" t="0"/>
                    <a:stretch>
                      <a:fillRect/>
                    </a:stretch>
                  </pic:blipFill>
                  <pic:spPr>
                    <a:xfrm>
                      <a:off x="0" y="0"/>
                      <a:ext cx="5486400" cy="1374554"/>
                    </a:xfrm>
                    <a:prstGeom prst="rect"/>
                  </pic:spPr>
                </pic:pic>
              </a:graphicData>
            </a:graphic>
          </wp:inline>
        </w:drawing>
      </w:r>
    </w:p>
    <w:p>
      <w:pPr>
        <w:spacing w:lineRule="auto"/>
      </w:pPr>
      <w:r>
        <w:rPr/>
        <w:t xml:space="preserve">Figure 7. Reaction equation of PPC and PP-g-(MAH-co-St).</w:t>
      </w:r>
    </w:p>
    <w:p>
      <w:pPr>
        <w:spacing w:after="220" w:lineRule="auto"/>
      </w:pPr>
      <w:r>
        <w:rPr/>
        <w:t xml:space="preserve">the PPC was degradable, while none of the PP and PP- </w:t>
      </w:r>
      <m:oMath>
        <m:r>
          <m:rPr>
            <m:sty m:val="i"/>
          </m:rPr>
          <m:t>g</m:t>
        </m:r>
      </m:oMath>
      <w:r>
        <w:rPr/>
        <w:t xml:space="preserve"> (MAH-co-St) was degradable. The degradation rate of the PPC/PP slices was improved by the addition of PP- </w:t>
      </w:r>
      <m:oMath>
        <m:r>
          <m:rPr>
            <m:sty m:val="i"/>
          </m:rPr>
          <m:t>g</m:t>
        </m:r>
      </m:oMath>
      <w:r>
        <w:rPr/>
        <w:t xml:space="preserve">-(MAH- </w:t>
      </w:r>
      <m:oMath>
        <m:r>
          <m:rPr>
            <m:sty m:val="i"/>
          </m:rPr>
          <m:t>c</m:t>
        </m:r>
        <m:r>
          <m:rPr>
            <m:sty m:val="i"/>
          </m:rPr>
          <m:t>o</m:t>
        </m:r>
      </m:oMath>
      <w:r>
        <w:rPr/>
        <w:t xml:space="preserve">-St). The effect of PP- </w:t>
      </w:r>
      <m:oMath>
        <m:r>
          <m:rPr>
            <m:sty m:val="i"/>
          </m:rPr>
          <m:t>g</m:t>
        </m:r>
      </m:oMath>
      <w:r>
        <w:rPr/>
        <w:t xml:space="preserve">-(MAH- </w:t>
      </w:r>
      <m:oMath>
        <m:r>
          <m:rPr>
            <m:sty m:val="i"/>
          </m:rPr>
          <m:t>c</m:t>
        </m:r>
        <m:r>
          <m:rPr>
            <m:sty m:val="i"/>
          </m:rPr>
          <m:t>o</m:t>
        </m:r>
      </m:oMath>
      <w:r>
        <w:rPr/>
        <w:t xml:space="preserve">-St) </w:t>
      </w:r>
      <m:oMath>
        <m:d>
          <m:dPr>
            <m:begChr m:val="("/>
            <m:endChr m:val=")"/>
            <m:ctrlPr>
              <w:rPr>
                <w:rFonts w:ascii="Cambria Math" w:hAnsi="Cambria Math"/>
              </w:rPr>
            </m:ctrlPr>
          </m:dPr>
          <m:e>
            <m:sSub>
              <m:sSubPr/>
              <m:e>
                <m:r>
                  <m:rPr>
                    <m:sty m:val="i"/>
                  </m:rPr>
                  <m:t>G</m:t>
                </m:r>
              </m:e>
              <m:sub>
                <m:r>
                  <m:rPr>
                    <m:nor/>
                  </m:rPr>
                  <m:t>MAH </m:t>
                </m:r>
              </m:sub>
            </m:sSub>
            <m:r>
              <m:rPr>
                <m:sty m:val="p"/>
              </m:rPr>
              <m:t>=</m:t>
            </m:r>
            <m:r>
              <m:rPr>
                <m:sty m:val="p"/>
              </m:rPr>
              <m:t>1.51</m:t>
            </m:r>
            <m:r>
              <m:rPr>
                <m:sty m:val="p"/>
              </m:rPr>
              <m:t>%</m:t>
            </m:r>
          </m:e>
        </m:d>
      </m:oMath>
      <w:r>
        <w:rPr/>
        <w:t xml:space="preserve"> was better than that of PP- </w:t>
      </w:r>
      <m:oMath>
        <m:r>
          <m:rPr>
            <m:sty m:val="i"/>
          </m:rPr>
          <m:t>g</m:t>
        </m:r>
      </m:oMath>
      <w:r>
        <w:rPr/>
        <w:t xml:space="preserve">-(MAH</w:t>
      </w:r>
      <m:oMath>
        <m:r>
          <m:rPr>
            <m:sty m:val="i"/>
          </m:rPr>
          <m:t>c</m:t>
        </m:r>
        <m:r>
          <m:rPr>
            <m:sty m:val="i"/>
          </m:rPr>
          <m:t>o</m:t>
        </m:r>
        <m:r>
          <m:rPr>
            <m:sty m:val="p"/>
          </m:rPr>
          <m:t>−</m:t>
        </m:r>
        <m:r>
          <m:rPr>
            <m:sty m:val="p"/>
          </m:rPr>
          <m:t>St</m:t>
        </m:r>
        <m:r>
          <m:rPr>
            <m:sty m:val="p"/>
          </m:rPr>
          <m:t>)</m:t>
        </m:r>
        <m:d>
          <m:dPr>
            <m:begChr m:val="("/>
            <m:endChr m:val=")"/>
            <m:ctrlPr>
              <w:rPr>
                <w:rFonts w:ascii="Cambria Math" w:hAnsi="Cambria Math"/>
              </w:rPr>
            </m:ctrlPr>
          </m:dPr>
          <m:e>
            <m:sSub>
              <m:sSubPr/>
              <m:e>
                <m:r>
                  <m:rPr>
                    <m:sty m:val="i"/>
                  </m:rPr>
                  <m:t>G</m:t>
                </m:r>
              </m:e>
              <m:sub>
                <m:r>
                  <m:rPr>
                    <m:sty m:val="p"/>
                  </m:rPr>
                  <m:t>MAH</m:t>
                </m:r>
              </m:sub>
            </m:sSub>
            <m:r>
              <m:rPr>
                <m:sty m:val="p"/>
              </m:rPr>
              <m:t>=</m:t>
            </m:r>
            <m:r>
              <m:rPr>
                <m:sty m:val="p"/>
              </m:rPr>
              <m:t>0.94</m:t>
            </m:r>
            <m:r>
              <m:rPr>
                <m:sty m:val="p"/>
              </m:rPr>
              <m:t>%</m:t>
            </m:r>
          </m:e>
        </m:d>
      </m:oMath>
      <w:r>
        <w:rPr/>
        <w:t xml:space="preserve"> at 2% content. The degradation rate of the PPC/PP slices decreased when the PP- </w:t>
      </w:r>
      <m:oMath>
        <m:r>
          <m:rPr>
            <m:sty m:val="i"/>
          </m:rPr>
          <m:t>g</m:t>
        </m:r>
      </m:oMath>
      <w:r>
        <w:rPr/>
        <w:t xml:space="preserve">-(MAH</w:t>
      </w:r>
      <m:oMath>
        <m:r>
          <m:rPr>
            <m:sty m:val="p"/>
          </m:rPr>
          <m:t>co</m:t>
        </m:r>
        <m:r>
          <m:rPr>
            <m:sty m:val="p"/>
          </m:rPr>
          <m:t>−</m:t>
        </m:r>
        <m:r>
          <m:rPr>
            <m:sty m:val="p"/>
          </m:rPr>
          <m:t>St</m:t>
        </m:r>
        <m:r>
          <m:rPr>
            <m:sty m:val="p"/>
          </m:rPr>
          <m:t>)</m:t>
        </m:r>
        <m:d>
          <m:dPr>
            <m:begChr m:val="("/>
            <m:endChr m:val=")"/>
            <m:ctrlPr>
              <w:rPr>
                <w:rFonts w:ascii="Cambria Math" w:hAnsi="Cambria Math"/>
              </w:rPr>
            </m:ctrlPr>
          </m:dPr>
          <m:e>
            <m:sSub>
              <m:sSubPr/>
              <m:e>
                <m:r>
                  <m:rPr>
                    <m:sty m:val="i"/>
                  </m:rPr>
                  <m:t>G</m:t>
                </m:r>
              </m:e>
              <m:sub>
                <m:r>
                  <m:rPr>
                    <m:sty m:val="p"/>
                  </m:rPr>
                  <m:t>MAH</m:t>
                </m:r>
              </m:sub>
            </m:sSub>
            <m:r>
              <m:rPr>
                <m:sty m:val="p"/>
              </m:rPr>
              <m:t>=</m:t>
            </m:r>
            <m:r>
              <m:rPr>
                <m:sty m:val="p"/>
              </m:rPr>
              <m:t>1.51</m:t>
            </m:r>
            <m:r>
              <m:rPr>
                <m:sty m:val="p"/>
              </m:rPr>
              <m:t>%</m:t>
            </m:r>
          </m:e>
        </m:d>
      </m:oMath>
      <w:r>
        <w:rPr/>
        <w:t xml:space="preserve"> content was 8%. Therefore, the degradation rate of the PPC/PP slices may decrease by the addition of excess PP- </w:t>
      </w:r>
      <m:oMath>
        <m:r>
          <m:rPr>
            <m:sty m:val="i"/>
          </m:rPr>
          <m:t>g</m:t>
        </m:r>
      </m:oMath>
      <w:r>
        <w:rPr/>
        <w:t xml:space="preserve">-(MAH-co-St). The degradation rate of the PPC/PP slices reached 3.91% in PBS (pH = 7.7) after 30 days. PPC was degraded by chemical hydrolysis, random hydrolysis, and microbial degradation in PBS. The compatibilizer enhanced the interaction between PPC and PP by the addition of PP- </w:t>
      </w:r>
      <m:oMath>
        <m:r>
          <m:rPr>
            <m:sty m:val="i"/>
          </m:rPr>
          <m:t>g</m:t>
        </m:r>
        <m:r>
          <m:rPr>
            <m:sty m:val="p"/>
          </m:rPr>
          <m:t>−</m:t>
        </m:r>
        <m:r>
          <m:rPr>
            <m:sty m:val="p"/>
          </m:rPr>
          <m:t>(</m:t>
        </m:r>
        <m:r>
          <m:rPr>
            <m:sty m:val="p"/>
          </m:rPr>
          <m:t>MAH</m:t>
        </m:r>
        <m:r>
          <m:rPr>
            <m:sty m:val="p"/>
          </m:rPr>
          <m:t>−</m:t>
        </m:r>
        <m:r>
          <m:rPr>
            <m:sty m:val="p"/>
          </m:rPr>
          <m:t>co</m:t>
        </m:r>
        <m:r>
          <m:rPr>
            <m:sty m:val="p"/>
          </m:rPr>
          <m:t>−</m:t>
        </m:r>
        <m:r>
          <m:rPr>
            <m:sty m:val="p"/>
          </m:rPr>
          <m:t>St</m:t>
        </m:r>
        <m:r>
          <m:rPr>
            <m:sty m:val="p"/>
          </m:rPr>
          <m:t>)</m:t>
        </m:r>
      </m:oMath>
      <w:r>
        <w:rPr/>
        <w:t xml:space="preserve">. This expansion led to the presentation of interior surface area and allowed the PBS solution to penetrate into slices for further degradation. </w:t>
      </w:r>
      <m:oMath>
        <m:sSup>
          <m:sSupPr/>
          <m:e>
            <m:r>
              <m:t xml:space="preserve"> </m:t>
            </m:r>
          </m:e>
          <m:sup>
            <m:r>
              <m:rPr>
                <m:sty m:val="p"/>
              </m:rPr>
              <m:t>22</m:t>
            </m:r>
          </m:sup>
        </m:sSup>
      </m:oMath>
      <w:r>
        <w:rPr/>
        <w:t xml:space="preserve"> These results provide basic data for the preparation of biodegradable meltblown nonwoven fabrics.</w:t>
      </w:r>
    </w:p>
    <w:p>
      <w:pPr>
        <w:spacing w:line="271" w:before="330" w:lineRule="auto"/>
      </w:pPr>
      <w:bookmarkStart w:id="12" w:name="reaction_mechanism_of_ppc_with_pp_8d3baa"/>
      <w:r>
        <w:rPr>
          <w:b/>
          <w:sz w:val="42"/>
        </w:rPr>
        <w:t xml:space="preserve">Reaction mechanism of PPC with PP-g-(MAH-co-St)</w:t>
      </w:r>
      <w:bookmarkEnd w:id="12"/>
    </w:p>
    <w:p>
      <w:pPr>
        <w:spacing w:after="220" w:lineRule="auto"/>
      </w:pPr>
      <w:r>
        <w:rPr/>
        <w:t xml:space="preserve">The results indicate that ring-opening reactions between the anhydride functional groups of MAH occur on the main chains of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and PPC. </w:t>
      </w:r>
      <m:oMath>
        <m:sSup>
          <m:sSupPr/>
          <m:e>
            <m:r>
              <m:t xml:space="preserve"> </m:t>
            </m:r>
          </m:e>
          <m:sup>
            <m:r>
              <m:rPr>
                <m:sty m:val="p"/>
              </m:rPr>
              <m:t>23</m:t>
            </m:r>
          </m:sup>
        </m:sSup>
      </m:oMath>
      <w:r>
        <w:rPr/>
        <w:t xml:space="preserve"> The</w:t>
      </w:r>
      <w:r>
        <w:rPr/>
        <w:br w:type="textWrapping"/>
      </w:r>
      <w:r>
        <w:rPr/>
        <w:t xml:space="preserve">reaction equation of PPC and PP- </w:t>
      </w:r>
      <m:oMath>
        <m:r>
          <m:rPr>
            <m:sty m:val="i"/>
          </m:rPr>
          <m:t>g</m:t>
        </m:r>
      </m:oMath>
      <w:r>
        <w:rPr/>
        <w:t xml:space="preserve">-(MAH- </w:t>
      </w:r>
      <m:oMath>
        <m:r>
          <m:rPr>
            <m:sty m:val="i"/>
          </m:rPr>
          <m:t>c</m:t>
        </m:r>
        <m:r>
          <m:rPr>
            <m:sty m:val="i"/>
          </m:rPr>
          <m:t>o</m:t>
        </m:r>
      </m:oMath>
      <w:r>
        <w:rPr/>
        <w:t xml:space="preserve">-St) is shown in Figure 7. To confirm this ring-opening reaction, PPC and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d>
          <m:dPr>
            <m:begChr m:val="("/>
            <m:endChr m:val=")"/>
            <m:ctrlPr>
              <w:rPr>
                <w:rFonts w:ascii="Cambria Math" w:hAnsi="Cambria Math"/>
              </w:rPr>
            </m:ctrlPr>
          </m:dPr>
          <m:e>
            <m:sSub>
              <m:sSubPr/>
              <m:e>
                <m:r>
                  <m:rPr>
                    <m:sty m:val="i"/>
                  </m:rPr>
                  <m:t>G</m:t>
                </m:r>
              </m:e>
              <m:sub>
                <m:r>
                  <m:rPr>
                    <m:nor/>
                  </m:rPr>
                  <m:t>MAH </m:t>
                </m:r>
              </m:sub>
            </m:sSub>
            <m:r>
              <m:rPr>
                <m:sty m:val="p"/>
              </m:rPr>
              <m:t>=</m:t>
            </m:r>
            <m:r>
              <m:rPr>
                <m:sty m:val="p"/>
              </m:rPr>
              <m:t>1.51</m:t>
            </m:r>
            <m:r>
              <m:rPr>
                <m:sty m:val="p"/>
              </m:rPr>
              <m:t>%</m:t>
            </m:r>
          </m:e>
        </m:d>
      </m:oMath>
      <w:r>
        <w:rPr/>
        <w:t xml:space="preserve"> at the ratio of 60/40 (w/w) were reacted by melt blending.</w:t>
      </w:r>
    </w:p>
    <w:p>
      <w:pPr>
        <w:spacing w:after="220" w:lineRule="auto"/>
      </w:pPr>
      <w:r>
        <w:rPr/>
        <w:t xml:space="preserve">The FT-IR and </w:t>
      </w:r>
      <m:oMath>
        <m:sSup>
          <m:sSupPr/>
          <m:e>
            <m:r>
              <m:t xml:space="preserve"> </m:t>
            </m:r>
          </m:e>
          <m:sup>
            <m:r>
              <m:rPr>
                <m:sty m:val="p"/>
              </m:rPr>
              <m:t>1</m:t>
            </m:r>
          </m:sup>
        </m:sSup>
        <m:r>
          <m:rPr>
            <m:sty m:val="p"/>
          </m:rPr>
          <m:t>H</m:t>
        </m:r>
      </m:oMath>
      <w:r>
        <w:rPr/>
        <w:t xml:space="preserve"> NMR spectra of PP- </w:t>
      </w:r>
      <m:oMath>
        <m:r>
          <m:rPr>
            <m:sty m:val="i"/>
          </m:rPr>
          <m:t>g</m:t>
        </m:r>
      </m:oMath>
      <w:r>
        <w:rPr/>
        <w:t xml:space="preserve">-(MAH- </w:t>
      </w:r>
      <m:oMath>
        <m:r>
          <m:rPr>
            <m:sty m:val="i"/>
          </m:rPr>
          <m:t>c</m:t>
        </m:r>
        <m:r>
          <m:rPr>
            <m:sty m:val="i"/>
          </m:rPr>
          <m:t>o</m:t>
        </m:r>
      </m:oMath>
      <w:r>
        <w:rPr/>
        <w:t xml:space="preserve">-St) and PPC/PP- </w:t>
      </w:r>
      <m:oMath>
        <m:r>
          <m:rPr>
            <m:sty m:val="i"/>
          </m:rPr>
          <m:t>g</m:t>
        </m:r>
      </m:oMath>
      <w:r>
        <w:rPr/>
        <w:t xml:space="preserve">-(MAH-co-St) are shown in Figures 8 and 9, respectively. As shown in Figure 8, the characteristic peak of the anhydride functional groups of MAH on the main chains of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at </w:t>
      </w:r>
      <m:oMath>
        <m:r>
          <m:rPr>
            <m:sty m:val="p"/>
          </m:rPr>
          <m:t>1856</m:t>
        </m:r>
        <m:sSup>
          <m:sSupPr/>
          <m:e>
            <m:r>
              <m:rPr>
                <m:nor/>
              </m:rPr>
              <m:t xml:space="preserve"> </m:t>
            </m:r>
            <m:r>
              <m:rPr>
                <m:sty m:val="p"/>
              </m:rPr>
              <m:t>cm</m:t>
            </m:r>
          </m:e>
          <m:sup>
            <m:r>
              <m:rPr>
                <m:sty m:val="p"/>
              </m:rPr>
              <m:t>−</m:t>
            </m:r>
            <m:r>
              <m:rPr>
                <m:sty m:val="p"/>
              </m:rPr>
              <m:t>1</m:t>
            </m:r>
          </m:sup>
        </m:sSup>
      </m:oMath>
      <w:r>
        <w:rPr/>
        <w:t xml:space="preserve"> disappeared or shifted in PPC/PP- </w:t>
      </w:r>
      <m:oMath>
        <m:r>
          <m:rPr>
            <m:sty m:val="i"/>
          </m:rPr>
          <m:t>g</m:t>
        </m:r>
      </m:oMath>
      <w:r>
        <w:rPr/>
        <w:t xml:space="preserve">-(MAH-co-St), thus proving that a ring-opening reaction had occurred.</w:t>
      </w:r>
    </w:p>
    <w:p>
      <w:pPr>
        <w:spacing w:after="220" w:lineRule="auto"/>
      </w:pPr>
      <w:r>
        <w:rPr/>
        <w:t xml:space="preserve">As shown in Figure 9, the peak of "1" of PP- </w:t>
      </w:r>
      <m:oMath>
        <m:r>
          <m:rPr>
            <m:sty m:val="i"/>
          </m:rPr>
          <m:t>g</m:t>
        </m:r>
      </m:oMath>
      <w:r>
        <w:rPr/>
        <w:t xml:space="preserve">-(MAHco-St) ranging from 2 to 2.5 ppm either disappeared or shifted in PPC/PP-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which also proves that a ring-opening reaction had occurred between PPC and PP- </w:t>
      </w:r>
      <m:oMath>
        <m:r>
          <m:rPr>
            <m:sty m:val="i"/>
          </m:rPr>
          <m:t>g</m:t>
        </m:r>
      </m:oMath>
      <w:r>
        <w:rPr/>
        <w:t xml:space="preserve">-(MAH-co-St). Thus, the compatibility of PPC and PP- </w:t>
      </w:r>
      <m:oMath>
        <m:r>
          <m:rPr>
            <m:sty m:val="i"/>
          </m:rPr>
          <m:t>g</m:t>
        </m:r>
        <m:r>
          <m:rPr>
            <m:sty m:val="p"/>
          </m:rPr>
          <m:t>−</m:t>
        </m:r>
        <m:r>
          <m:rPr>
            <m:sty m:val="p"/>
          </m:rPr>
          <m:t>(</m:t>
        </m:r>
        <m:r>
          <m:rPr>
            <m:sty m:val="i"/>
          </m:rPr>
          <m:t>M</m:t>
        </m:r>
        <m:r>
          <m:rPr>
            <m:sty m:val="i"/>
          </m:rPr>
          <m:t>A</m:t>
        </m:r>
        <m:r>
          <m:rPr>
            <m:sty m:val="i"/>
          </m:rPr>
          <m:t>H</m:t>
        </m:r>
        <m:r>
          <m:rPr>
            <m:sty m:val="p"/>
          </m:rPr>
          <m:t>−</m:t>
        </m:r>
        <m:r>
          <m:rPr>
            <m:sty m:val="i"/>
          </m:rPr>
          <m:t>c</m:t>
        </m:r>
        <m:r>
          <m:rPr>
            <m:sty m:val="i"/>
          </m:rPr>
          <m:t>o</m:t>
        </m:r>
        <m:r>
          <m:rPr>
            <m:sty m:val="p"/>
          </m:rPr>
          <m:t>−</m:t>
        </m:r>
        <m:r>
          <m:rPr>
            <m:sty m:val="i"/>
          </m:rPr>
          <m:t>S</m:t>
        </m:r>
        <m:r>
          <m:rPr>
            <m:sty m:val="i"/>
          </m:rPr>
          <m:t>t</m:t>
        </m:r>
        <m:r>
          <m:rPr>
            <m:sty m:val="p"/>
          </m:rPr>
          <m:t>)</m:t>
        </m:r>
      </m:oMath>
      <w:r>
        <w:rPr/>
        <w:t xml:space="preserve"> can be promoted by the mutual effect of chemical reaction.</w:t>
      </w:r>
    </w:p>
    <w:p>
      <w:pPr>
        <w:spacing w:after="220" w:lineRule="auto"/>
      </w:pPr>
      <w:r>
        <w:rPr/>
        <w:t xml:space="preserve">The PP chain of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and the PP of the PPC/PP slices are compatible and feature favorable cocrystallization. The most advantageous conformation must be obtained from their interface to promote compatibility. The interface bonding forces are less, the</w:t>
      </w:r>
    </w:p>
    <w:p>
      <w:pPr>
        <w:spacing w:lineRule="auto"/>
        <w:jc w:val="center"/>
      </w:pPr>
      <w:r>
        <w:rPr/>
        <w:drawing>
          <wp:inline distB="0" distL="0" distR="0" distT="0">
            <wp:extent cx="5486400" cy="3508834"/>
            <wp:effectExtent b="0" l="0" r="0" t="0"/>
            <wp:docPr id="8" name="image-35c36a35dddddbce4b30d4d56fbfb6a7989ca8b8.jpg"/>
            <a:graphic>
              <a:graphicData uri="http://schemas.openxmlformats.org/drawingml/2006/picture">
                <pic:pic>
                  <pic:nvPicPr>
                    <pic:cNvPr id="8" name="image-35c36a35dddddbce4b30d4d56fbfb6a7989ca8b8.jpg" descr=""/>
                    <pic:cNvPicPr/>
                  </pic:nvPicPr>
                  <pic:blipFill>
                    <a:blip r:embed="rId12" cstate="print"/>
                    <a:srcRect b="0" l="0" r="0" t="0"/>
                    <a:stretch>
                      <a:fillRect/>
                    </a:stretch>
                  </pic:blipFill>
                  <pic:spPr>
                    <a:xfrm>
                      <a:off x="0" y="0"/>
                      <a:ext cx="5486400" cy="3508834"/>
                    </a:xfrm>
                    <a:prstGeom prst="rect"/>
                  </pic:spPr>
                </pic:pic>
              </a:graphicData>
            </a:graphic>
          </wp:inline>
        </w:drawing>
      </w:r>
    </w:p>
    <w:p>
      <w:pPr>
        <w:spacing w:lineRule="auto"/>
      </w:pPr>
      <w:r>
        <w:rPr/>
        <w:t xml:space="preserve">Figure 8. FT-IR spectra of PP-g-(MAH-co-St) and PPC/PP-g(MAH-co-St).</w:t>
      </w:r>
    </w:p>
    <w:p>
      <w:pPr>
        <w:spacing w:line="271" w:before="330" w:lineRule="auto"/>
      </w:pPr>
      <w:bookmarkStart w:id="13" w:name="conclusion"/>
      <w:r>
        <w:rPr>
          <w:b/>
          <w:sz w:val="42"/>
        </w:rPr>
        <w:t xml:space="preserve">Conclusion</w:t>
      </w:r>
      <w:bookmarkEnd w:id="13"/>
    </w:p>
    <w:p>
      <w:pPr>
        <w:spacing w:after="220" w:lineRule="auto"/>
      </w:pPr>
      <w:r>
        <w:rPr/>
        <w:t xml:space="preserve">The results showed that PP- </w:t>
      </w:r>
      <m:oMath>
        <m:r>
          <m:rPr>
            <m:sty m:val="i"/>
          </m:rPr>
          <m:t>g</m:t>
        </m:r>
      </m:oMath>
      <w:r>
        <w:rPr/>
        <w:t xml:space="preserve">-(MAH-co-St) with three different grafting proportions could be prepared by melt grafting. MAH in the form of cyclic anhydride was also grafted onto the main chains of PP successfully.</w:t>
      </w:r>
    </w:p>
    <w:p>
      <w:pPr>
        <w:spacing w:after="220" w:lineRule="auto"/>
      </w:pPr>
      <w:r>
        <w:rPr/>
        <w:t xml:space="preserve">The effect of different contents and grafting proportions of PP- </w:t>
      </w:r>
      <m:oMath>
        <m:r>
          <m:rPr>
            <m:sty m:val="i"/>
          </m:rPr>
          <m:t>g</m:t>
        </m:r>
      </m:oMath>
      <w:r>
        <w:rPr/>
        <w:t xml:space="preserve">-(MAH-co-St) on the performance of the PPC/PP slices was studied. The compatibility between PPC and PP was improved by the addition of PP- </w:t>
      </w:r>
      <m:oMath>
        <m:r>
          <m:rPr>
            <m:sty m:val="i"/>
          </m:rPr>
          <m:t>g</m:t>
        </m:r>
        <m:r>
          <m:rPr>
            <m:sty m:val="p"/>
          </m:rPr>
          <m:t>−</m:t>
        </m:r>
        <m:r>
          <m:rPr>
            <m:sty m:val="p"/>
          </m:rPr>
          <m:t>(</m:t>
        </m:r>
        <m:r>
          <m:rPr>
            <m:sty m:val="p"/>
          </m:rPr>
          <m:t>MAH</m:t>
        </m:r>
        <m:r>
          <m:rPr>
            <m:sty m:val="p"/>
          </m:rPr>
          <m:t>−</m:t>
        </m:r>
        <m:r>
          <m:rPr>
            <m:sty m:val="i"/>
          </m:rPr>
          <m:t>c</m:t>
        </m:r>
        <m:r>
          <m:rPr>
            <m:sty m:val="i"/>
          </m:rPr>
          <m:t>o</m:t>
        </m:r>
        <m:r>
          <m:rPr>
            <m:sty m:val="p"/>
          </m:rPr>
          <m:t>−</m:t>
        </m:r>
        <m:r>
          <m:rPr>
            <m:sty m:val="p"/>
          </m:rPr>
          <m:t>St</m:t>
        </m:r>
        <m:r>
          <m:rPr>
            <m:sty m:val="p"/>
          </m:rPr>
          <m:t>)</m:t>
        </m:r>
      </m:oMath>
      <w:r>
        <w:rPr/>
        <w:t xml:space="preserve">. PPC/ PP slices had higher tensile strengths and lower MFRs at higher contents and grafting proportions of PP- </w:t>
      </w:r>
      <m:oMath>
        <m:r>
          <m:rPr>
            <m:sty m:val="i"/>
          </m:rPr>
          <m:t>g</m:t>
        </m:r>
      </m:oMath>
      <w:r>
        <w:rPr/>
        <w:t xml:space="preserve">-(MAHco-St) than lower ones. The thermal decomposition temperatures of the PPC/PP slices were improved when the content of PP-g-(MAH-co-St) was increased. The impact of different grafting proportions of PP- </w:t>
      </w:r>
      <m:oMath>
        <m:r>
          <m:rPr>
            <m:sty m:val="i"/>
          </m:rPr>
          <m:t>g</m:t>
        </m:r>
      </m:oMath>
      <w:r>
        <w:rPr/>
        <w:t xml:space="preserve">-(MAH-co-St) on the thermal decomposition temperatures of the PPC/PP slices was less. The degradation rate of the PPC/PP slices was improved by the addition of moderate amounts of PP- </w:t>
      </w:r>
      <m:oMath>
        <m:r>
          <m:rPr>
            <m:sty m:val="i"/>
          </m:rPr>
          <m:t>g</m:t>
        </m:r>
      </m:oMath>
      <w:r>
        <w:rPr/>
        <w:t xml:space="preserve">-(MAH-co-St).</w:t>
      </w:r>
    </w:p>
    <w:p>
      <w:pPr>
        <w:spacing w:after="220" w:lineRule="auto"/>
      </w:pPr>
      <w:r>
        <w:rPr/>
        <w:t xml:space="preserve">Ring-opening reactions, increased interface adhesion forces, and reduced interfacial tension may be the mechanisms of PP- </w:t>
      </w:r>
      <m:oMath>
        <m:r>
          <m:rPr>
            <m:sty m:val="i"/>
          </m:rPr>
          <m:t>g</m:t>
        </m:r>
      </m:oMath>
      <w:r>
        <w:rPr/>
        <w:t xml:space="preserve">-(MAH-co-St). To endow PPC/PP slices with better application potential, further studies will be conducted to prepare biodegradable meltblown nonwoven fabrics using PPC/PP slices.</w:t>
      </w:r>
    </w:p>
    <w:p>
      <w:pPr>
        <w:spacing w:lineRule="auto"/>
        <w:jc w:val="center"/>
      </w:pPr>
      <w:r>
        <w:rPr/>
        <w:drawing>
          <wp:inline distB="0" distL="0" distR="0" distT="0">
            <wp:extent cx="5486400" cy="1878904"/>
            <wp:effectExtent b="0" l="0" r="0" t="0"/>
            <wp:docPr id="9" name="image-7729cee427324e4d6ac69cc9ec39b467d7e1ed38.jpg"/>
            <a:graphic>
              <a:graphicData uri="http://schemas.openxmlformats.org/drawingml/2006/picture">
                <pic:pic>
                  <pic:nvPicPr>
                    <pic:cNvPr id="9" name="image-7729cee427324e4d6ac69cc9ec39b467d7e1ed38.jpg" descr=""/>
                    <pic:cNvPicPr/>
                  </pic:nvPicPr>
                  <pic:blipFill>
                    <a:blip r:embed="rId13" cstate="print"/>
                    <a:srcRect b="0" l="0" r="0" t="0"/>
                    <a:stretch>
                      <a:fillRect/>
                    </a:stretch>
                  </pic:blipFill>
                  <pic:spPr>
                    <a:xfrm>
                      <a:off x="0" y="0"/>
                      <a:ext cx="5486400" cy="1878904"/>
                    </a:xfrm>
                    <a:prstGeom prst="rect"/>
                  </pic:spPr>
                </pic:pic>
              </a:graphicData>
            </a:graphic>
          </wp:inline>
        </w:drawing>
      </w:r>
    </w:p>
    <w:p>
      <w:pPr>
        <w:spacing w:lineRule="auto"/>
      </w:pPr>
      <w:r>
        <w:rPr/>
        <w:t xml:space="preserve">Figure 9. </w:t>
      </w:r>
      <m:oMath>
        <m:sSup>
          <m:sSupPr/>
          <m:e>
            <m:r>
              <m:t xml:space="preserve"> </m:t>
            </m:r>
          </m:e>
          <m:sup>
            <m:r>
              <m:rPr>
                <m:sty m:val="p"/>
              </m:rPr>
              <m:t>1</m:t>
            </m:r>
          </m:sup>
        </m:sSup>
        <m:r>
          <m:rPr>
            <m:sty m:val="p"/>
          </m:rPr>
          <m:t>H</m:t>
        </m:r>
      </m:oMath>
      <w:r>
        <w:rPr/>
        <w:t xml:space="preserve"> NMR spectra of PP-g-(MAH-co-St) and PPC/PP-g-(MAH-co-St).</w:t>
      </w:r>
    </w:p>
    <w:p>
      <w:pPr>
        <w:spacing w:line="271" w:before="330" w:lineRule="auto"/>
      </w:pPr>
      <w:bookmarkStart w:id="14" w:name="declaration_of_conflicting_interests"/>
      <w:r>
        <w:rPr>
          <w:b/>
          <w:sz w:val="42"/>
        </w:rPr>
        <w:t xml:space="preserve">Declaration of conflicting interests</w:t>
      </w:r>
      <w:bookmarkEnd w:id="14"/>
    </w:p>
    <w:p>
      <w:pPr>
        <w:spacing w:after="220" w:lineRule="auto"/>
      </w:pPr>
      <w:r>
        <w:rPr/>
        <w:t xml:space="preserve">The author(s) declared no potential conflicts of interest with respect to the research, authorship, and/or publication of this article.</w:t>
      </w:r>
    </w:p>
    <w:p>
      <w:pPr>
        <w:spacing w:line="271" w:before="330" w:lineRule="auto"/>
      </w:pPr>
      <w:bookmarkStart w:id="15" w:name="funding"/>
      <w:r>
        <w:rPr>
          <w:b/>
          <w:sz w:val="42"/>
        </w:rPr>
        <w:t xml:space="preserve">Funding</w:t>
      </w:r>
      <w:bookmarkEnd w:id="15"/>
    </w:p>
    <w:p>
      <w:pPr>
        <w:spacing w:after="220" w:lineRule="auto"/>
      </w:pPr>
      <w:r>
        <w:rPr/>
        <w:t xml:space="preserve">The author(s) disclosed receipt of the following financial support for the research, authorship, and/or publication of this article: The authors would like to thank the Hainan Province Research and Development Project (ZDYF2016016), the Open Project Program of Key Laboratory of Advanced Materials of Tropical Island Resources (Hainan University), Ministry of Education (AM2017-26), National Natural Science Fund of China (51663010), for their financial support. This study was also supported by the Hainan Provincial Fine Chemical Engineering Research Center, the Analytical and Testing Center of Hainan University.</w:t>
      </w:r>
    </w:p>
    <w:p>
      <w:pPr>
        <w:spacing w:line="271" w:before="330" w:lineRule="auto"/>
      </w:pPr>
      <w:bookmarkStart w:id="16" w:name="references"/>
      <w:r>
        <w:rPr>
          <w:b/>
          <w:sz w:val="42"/>
        </w:rPr>
        <w:t xml:space="preserve">References</w:t>
      </w:r>
      <w:bookmarkEnd w:id="16"/>
    </w:p>
    <w:p>
      <w:pPr>
        <w:numPr>
          <w:ilvl w:val="0"/>
          <w:numId w:val="2"/>
        </w:numPr>
        <w:spacing w:lineRule="auto"/>
      </w:pPr>
      <w:r>
        <w:rPr/>
        <w:t xml:space="preserve">Roder H and Vogl O. 17th international Herman F. Mark symposium: polypropylene-a material of the future. Prog Polym Sci 1999; 24: 1205-1216.</w:t>
      </w:r>
    </w:p>
    <w:p>
      <w:pPr>
        <w:numPr>
          <w:ilvl w:val="0"/>
          <w:numId w:val="2"/>
        </w:numPr>
        <w:spacing w:lineRule="auto"/>
      </w:pPr>
      <w:r>
        <w:rPr/>
        <w:t xml:space="preserve">Kim DH, Fasulo PD, Rodgers WR, et al. Structure and properties of polypropylene-based nanocomposites: effect of PP-g-MA to organoclay ratio. Polymer 2007; 48: 5308-5323.</w:t>
      </w:r>
    </w:p>
    <w:p>
      <w:pPr>
        <w:numPr>
          <w:ilvl w:val="0"/>
          <w:numId w:val="2"/>
        </w:numPr>
        <w:spacing w:lineRule="auto"/>
      </w:pPr>
      <w:r>
        <w:rPr/>
        <w:t xml:space="preserve">Dubnikova IL, Berezina SM, Korolev YM, et al. Morphology, deformation behavior and thermomechanical properties of polypropylene/maleic anhydride grafted polypropylene/layered silicate nanocomposites. J Appl Polym Sci 2007; 105: 3836-3850.</w:t>
      </w:r>
    </w:p>
    <w:p>
      <w:pPr>
        <w:numPr>
          <w:ilvl w:val="0"/>
          <w:numId w:val="2"/>
        </w:numPr>
        <w:spacing w:lineRule="auto"/>
      </w:pPr>
      <w:r>
        <w:rPr/>
        <w:t xml:space="preserve">Cartier H and Hu GH. Styrene-assisted melt free radical grafting of glycidyl methacrylate onto polypropylene. </w:t>
      </w:r>
      <m:oMath>
        <m:r>
          <m:rPr>
            <m:sty m:val="i"/>
          </m:rPr>
          <m:t>J</m:t>
        </m:r>
      </m:oMath>
      <w:r>
        <w:rPr/>
        <w:t xml:space="preserve"> Polym Sci Part A Polym Chem 1998; 36(7): 1053-1063.</w:t>
      </w:r>
    </w:p>
    <w:p>
      <w:pPr>
        <w:numPr>
          <w:ilvl w:val="0"/>
          <w:numId w:val="2"/>
        </w:numPr>
        <w:spacing w:lineRule="auto"/>
      </w:pPr>
      <w:r>
        <w:rPr/>
        <w:t xml:space="preserve">Li Y, Xie XM and Guo BH. Study on styrene-assisted melt free-radical grafting of maleic anhydride onto polypropylene. Polymer 2001; 42: 3419-3425.</w:t>
      </w:r>
    </w:p>
    <w:p>
      <w:pPr>
        <w:numPr>
          <w:ilvl w:val="0"/>
          <w:numId w:val="2"/>
        </w:numPr>
        <w:spacing w:lineRule="auto"/>
      </w:pPr>
      <w:r>
        <w:rPr/>
        <w:t xml:space="preserve">Lee J, Kim JK and Son Y. Evaluation of polypropylene grafted with maleic anhydride and styrene as a compatibilizer for polypropylene/clay nanocomposites. Polym Bull 2012; 68: 541-551.</w:t>
      </w:r>
    </w:p>
    <w:p>
      <w:pPr>
        <w:numPr>
          <w:ilvl w:val="0"/>
          <w:numId w:val="2"/>
        </w:numPr>
        <w:spacing w:lineRule="auto"/>
      </w:pPr>
      <w:r>
        <w:rPr/>
        <w:t xml:space="preserve">Wang Y, Chen FB, Li YC, et al. Melt processing of polypropylene/clay nanocomposites modified with maleated polypropylene compatibilizers. Compos Part B Eng 2004; 35: 111-124.</w:t>
      </w:r>
    </w:p>
    <w:p>
      <w:pPr>
        <w:numPr>
          <w:ilvl w:val="0"/>
          <w:numId w:val="2"/>
        </w:numPr>
        <w:spacing w:lineRule="auto"/>
      </w:pPr>
      <w:r>
        <w:rPr/>
        <w:t xml:space="preserve">Xu J, Li RKY, Xu Y, et al. Preparation of poly(propylene carbonate)/organo-vermiculite nanocomposites via direct melt intercalation. Eur Polym J 2005; 41(4): 881-888.</w:t>
      </w:r>
    </w:p>
    <w:p>
      <w:pPr>
        <w:numPr>
          <w:ilvl w:val="0"/>
          <w:numId w:val="2"/>
        </w:numPr>
        <w:spacing w:lineRule="auto"/>
      </w:pPr>
      <w:r>
        <w:rPr/>
        <w:t xml:space="preserve">Xu J, Li RKY, Meng YZ, et al. Biodegradable poly(propylene carbonate)/montmorillonite nanocomposites prepared by direct melt intercalation. Mater Res Bull 2006; 41(2): 244-252.</w:t>
      </w:r>
    </w:p>
    <w:p>
      <w:pPr>
        <w:numPr>
          <w:ilvl w:val="0"/>
          <w:numId w:val="2"/>
        </w:numPr>
        <w:spacing w:lineRule="auto"/>
      </w:pPr>
      <w:r>
        <w:rPr/>
        <w:t xml:space="preserve">Ge XC, Li XH, Zhu Q, et al. Preparation and properties of biodegradable poly(propylene carbonate)/starch composites. Polym Eng Sci 2004; 44(11): 2134-2140.</w:t>
      </w:r>
    </w:p>
    <w:p>
      <w:pPr>
        <w:numPr>
          <w:ilvl w:val="0"/>
          <w:numId w:val="2"/>
        </w:numPr>
        <w:spacing w:lineRule="auto"/>
      </w:pPr>
      <w:r>
        <w:rPr/>
        <w:t xml:space="preserve">Zhang ZH, Mo ZS, Zhang HF, et al. Crystallization and melting behaviors of PPC-BS/PVA blends. Macromol Chem Phys 2003; 204: 1557-1566.</w:t>
      </w:r>
    </w:p>
    <w:p>
      <w:pPr>
        <w:numPr>
          <w:ilvl w:val="0"/>
          <w:numId w:val="2"/>
        </w:numPr>
        <w:spacing w:lineRule="auto"/>
      </w:pPr>
      <w:r>
        <w:rPr/>
        <w:t xml:space="preserve">Jiao J, Wang S, Meng Y, et al. Processability, property, and morphology of bio-degradable blends of poly(propylene carbonate) and poly(ethylene-co-vinyl alcohol). Polym Eng Sci 2007; 47(2): 174-180.</w:t>
      </w:r>
    </w:p>
    <w:p>
      <w:pPr>
        <w:numPr>
          <w:ilvl w:val="0"/>
          <w:numId w:val="2"/>
        </w:numPr>
        <w:spacing w:lineRule="auto"/>
      </w:pPr>
      <w:r>
        <w:rPr/>
        <w:t xml:space="preserve">Li J, Lai MF and Liu JJ. Effect of poly(propylene carbonate) on the crystallization and melting behavior of poly( </w:t>
      </w:r>
      <m:oMath>
        <m:r>
          <m:rPr>
            <m:sty m:val="i"/>
          </m:rPr>
          <m:t>β</m:t>
        </m:r>
      </m:oMath>
      <w:r>
        <w:rPr/>
        <w:t xml:space="preserve"> hydroxybutyrate-co- </w:t>
      </w:r>
      <m:oMath>
        <m:r>
          <m:rPr>
            <m:sty m:val="i"/>
          </m:rPr>
          <m:t>β</m:t>
        </m:r>
      </m:oMath>
      <w:r>
        <w:rPr/>
        <w:t xml:space="preserve">-hydroxyvalerate). J Appl Polym Sci 2004; 92: 2514-2521.</w:t>
      </w:r>
    </w:p>
    <w:p>
      <w:pPr>
        <w:numPr>
          <w:ilvl w:val="0"/>
          <w:numId w:val="2"/>
        </w:numPr>
        <w:spacing w:lineRule="auto"/>
      </w:pPr>
      <w:r>
        <w:rPr/>
        <w:t xml:space="preserve">Pang H, Liao B, Huang Y, et al. Blends of PPC/NR elastomer I. Formula design. Polym Mater Sci Eng 2002; 18(2): 71-73.</w:t>
      </w:r>
    </w:p>
    <w:p>
      <w:pPr>
        <w:numPr>
          <w:ilvl w:val="0"/>
          <w:numId w:val="2"/>
        </w:numPr>
        <w:spacing w:lineRule="auto"/>
      </w:pPr>
      <w:r>
        <w:rPr/>
        <w:t xml:space="preserve">Ma XF, Yu JG, Wang N, et al. Compatibility characterization of poly(lactic acid)/poly(propylene carbonate) blends. </w:t>
      </w:r>
      <m:oMath>
        <m:r>
          <m:rPr>
            <m:sty m:val="i"/>
          </m:rPr>
          <m:t>J</m:t>
        </m:r>
      </m:oMath>
      <w:r>
        <w:rPr/>
        <w:t xml:space="preserve"> Polym Sci Part B Polym Phys 2006; 44: 94-101.</w:t>
      </w:r>
    </w:p>
    <w:p>
      <w:pPr>
        <w:numPr>
          <w:ilvl w:val="0"/>
          <w:numId w:val="2"/>
        </w:numPr>
        <w:spacing w:lineRule="auto"/>
      </w:pPr>
      <w:r>
        <w:rPr/>
        <w:t xml:space="preserve">Zhang YC, Zhu HY, Wu HY, et al. The composite fiber materials of montmorillonite/polypropylene/polylactic acid and its preparation method. CN 200810203171.9, 2009, in Chinese.</w:t>
      </w:r>
    </w:p>
    <w:p>
      <w:pPr>
        <w:numPr>
          <w:ilvl w:val="0"/>
          <w:numId w:val="2"/>
        </w:numPr>
        <w:spacing w:lineRule="auto"/>
      </w:pPr>
      <w:r>
        <w:rPr/>
        <w:t xml:space="preserve">Zhang YC, Qin Y, Wu HY, et al. The composite fiber materials of nanometer zinc oxide/polypropylene/polylactic acid and its preparation method. CN 200810203172.3, 2009, in Chinese.</w:t>
      </w:r>
    </w:p>
    <w:p>
      <w:pPr>
        <w:numPr>
          <w:ilvl w:val="0"/>
          <w:numId w:val="2"/>
        </w:numPr>
        <w:spacing w:lineRule="auto"/>
      </w:pPr>
      <w:r>
        <w:rPr/>
        <w:t xml:space="preserve">Zhang YC, Zhou J, Wu HY, et al. The composite fiber materials of carbon nanotubes/polypropylene/polylactic acid and its preparation method. CN 200810203173.8, 2009, in Chinese.</w:t>
      </w:r>
    </w:p>
    <w:p>
      <w:pPr>
        <w:numPr>
          <w:ilvl w:val="0"/>
          <w:numId w:val="2"/>
        </w:numPr>
        <w:spacing w:lineRule="auto"/>
      </w:pPr>
      <w:r>
        <w:rPr/>
        <w:t xml:space="preserve">Wang JH and He A. Bio-based and biodegradable aliphatic polyesters modified by a continuous alcoholysis reaction. Green Polym Chem 2010; 29: 425-437.</w:t>
      </w:r>
    </w:p>
    <w:p>
      <w:pPr>
        <w:numPr>
          <w:ilvl w:val="0"/>
          <w:numId w:val="2"/>
        </w:numPr>
        <w:spacing w:lineRule="auto"/>
      </w:pPr>
      <w:r>
        <w:rPr/>
        <w:t xml:space="preserve">Xu J, Ban H, Ye C, et al. The long-term stress aging on the structure and properties of nylon 6. Polym Mater Sci Eng 2010; 26(6): 79-85.</w:t>
      </w:r>
    </w:p>
    <w:p>
      <w:pPr>
        <w:numPr>
          <w:ilvl w:val="0"/>
          <w:numId w:val="2"/>
        </w:numPr>
        <w:spacing w:lineRule="auto"/>
      </w:pPr>
      <w:r>
        <w:rPr/>
        <w:t xml:space="preserve">Fu Y, Liu Y, Zhang L, et al. Molecular simulation of the glass transition of different configuration of polypropylene. J Mol Sci 2009; 25(1): 1-4.</w:t>
      </w:r>
    </w:p>
    <w:p>
      <w:pPr>
        <w:numPr>
          <w:ilvl w:val="0"/>
          <w:numId w:val="2"/>
        </w:numPr>
        <w:spacing w:lineRule="auto"/>
      </w:pPr>
      <w:r>
        <w:rPr/>
        <w:t xml:space="preserve">Tao J, Song C, Cao M, et al. Thermal properties and degradability of poly(propylene carbonate)/poly( </w:t>
      </w:r>
      <m:oMath>
        <m:r>
          <m:rPr>
            <m:sty m:val="i"/>
          </m:rPr>
          <m:t>β</m:t>
        </m:r>
      </m:oMath>
      <w:r>
        <w:rPr/>
        <w:t xml:space="preserve"> hydroxybutyrate-co- </w:t>
      </w:r>
      <m:oMath>
        <m:r>
          <m:rPr>
            <m:sty m:val="i"/>
          </m:rPr>
          <m:t>β</m:t>
        </m:r>
      </m:oMath>
      <w:r>
        <w:rPr/>
        <w:t xml:space="preserve">-hydroxyvalerate)(PPC/PHBV) blends. Polym Degrad Stab 2009; 94: 575-583.</w:t>
      </w:r>
    </w:p>
    <w:p>
      <w:pPr>
        <w:numPr>
          <w:ilvl w:val="0"/>
          <w:numId w:val="2"/>
        </w:numPr>
        <w:spacing w:lineRule="auto"/>
      </w:pPr>
      <w:r>
        <w:rPr/>
        <w:t xml:space="preserve">Diao JZ, Yang HF, Zhang JM, et al. Preparation and characterization of PP and PP-g-(MAH-co-St)/hyperbranched poly(amide-ester) blends. Iran Polym J 2007; 16(2): 97-104.</w:t>
      </w:r>
    </w:p>
    <w:p>
      <w:pPr>
        <w:numPr>
          <w:ilvl w:val="0"/>
          <w:numId w:val="2"/>
        </w:numPr>
        <w:spacing w:lineRule="auto"/>
      </w:pPr>
      <w:r>
        <w:rPr/>
        <w:t xml:space="preserve">Kim HS, Lee BH, Choi SW, et al. The effect of types of maleic anhydride-grafted properties of bio-flour-filled polypropylene composites. Compos Part A 2007; 38: 1473-1482.</w:t>
      </w:r>
    </w:p>
    <w:p>
      <w:pPr>
        <w:numPr>
          <w:ilvl w:val="0"/>
          <w:numId w:val="2"/>
        </w:numPr>
        <w:spacing w:lineRule="auto"/>
      </w:pPr>
      <w:r>
        <w:rPr/>
        <w:t xml:space="preserve">Dedecker K and Groeninckx G. Interfacial graft copolymer formation during reactive melt blending of polyamide 6 and styrene-maleic anhydride copolymers. Macromolecules 1999; 32: 2472-2479.</w:t>
      </w:r>
    </w:p>
    <w:p>
      <w:pPr>
        <w:numPr>
          <w:ilvl w:val="0"/>
          <w:numId w:val="2"/>
        </w:numPr>
        <w:spacing w:lineRule="auto"/>
      </w:pPr>
      <w:r>
        <w:rPr/>
        <w:t xml:space="preserve">Tang T, Chen H, Zhang X, et al. Molecular state of polymer in the interfacial area of polyolefin and polar polymers. Acta Polym Sin 1996; 3: 336-341.</w:t>
      </w:r>
    </w:p>
    <w:p>
      <w:pPr>
        <w:spacing w:lineRule="auto"/>
      </w:pPr>
      <w:r>
        <w:rPr>
          <w:noProof/>
        </w:rPr>
        <w:pict>
          <v:rect alt="" style="width:432pt;height:.05pt;mso-width-percent:0;mso-height-percent:0;mso-width-percent:0;mso-height-percent:0" o:hralign="center" o:hrstd="t" o:hr="t"/>
        </w:pict>
      </w:r>
    </w:p>
    <w:bookmarkStart w:id="17" w:name="fn1"/>
    <w:bookmarkEnd w:id="17"/>
    <w:p>
      <w:pPr>
        <w:numPr>
          <w:ilvl w:val="0"/>
          <w:numId w:val="4"/>
        </w:numPr>
        <w:spacing w:after="220" w:lineRule="auto"/>
        <w:ind w:left="357"/>
      </w:pPr>
      <m:oMath>
        <m:sSup>
          <m:sSupPr/>
          <m:e>
            <m:r>
              <m:t xml:space="preserve"> </m:t>
            </m:r>
          </m:e>
          <m:sup>
            <m:r>
              <m:rPr>
                <m:sty m:val="p"/>
              </m:rPr>
              <m:t>1</m:t>
            </m:r>
          </m:sup>
        </m:sSup>
      </m:oMath>
      <w:r>
        <w:rPr/>
        <w:t xml:space="preserve"> Key Laboratory of Advanced Materials of Tropical Island Resources of Ministry of Education, School of Chemical Engineering and Technology, Hainan University, Haikou, Hainan, China</w:t>
      </w:r>
      <w:r>
        <w:rPr/>
        <w:br w:type="textWrapping"/>
      </w:r>
      <m:oMath>
        <m:sSup>
          <m:sSupPr/>
          <m:e>
            <m:r>
              <m:t xml:space="preserve"> </m:t>
            </m:r>
          </m:e>
          <m:sup>
            <m:r>
              <m:rPr>
                <m:sty m:val="p"/>
              </m:rPr>
              <m:t>2</m:t>
            </m:r>
          </m:sup>
        </m:sSup>
      </m:oMath>
      <w:r>
        <w:rPr/>
        <w:t xml:space="preserve"> Dencare(Chongqing) Oral Care Co., Ltd, Chongqing, China</w:t>
      </w:r>
      <w:r>
        <w:rPr/>
        <w:br w:type="textWrapping"/>
      </w:r>
      <w:r>
        <w:rPr/>
        <w:t xml:space="preserve">Corresponding author:</w:t>
      </w:r>
      <w:r>
        <w:rPr/>
        <w:br w:type="textWrapping"/>
      </w:r>
      <w:r>
        <w:rPr/>
        <w:t xml:space="preserve">Lisha Pan, Hainan University, Haikou 570228, China.</w:t>
      </w:r>
      <w:r>
        <w:rPr/>
        <w:br w:type="textWrapping"/>
      </w:r>
      <w:r>
        <w:rPr/>
        <w:t xml:space="preserve">Email: </w:t>
      </w:r>
      <w:hyperlink r:id="rId14">
        <w:r>
          <w:rPr>
            <w:rFonts w:eastAsia="Georgia" w:cs="Georgia" w:ascii="Georgia" w:hAnsi="Georgia"/>
            <w:color w:val="4472C4"/>
          </w:rPr>
          <w:t xml:space="preserve">happylisap@hainanu.edu.cn</w:t>
        </w:r>
      </w:hyperlink>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1"/>
      <w:numFmt w:val="decimal"/>
      <w:lvlText w:val=""/>
      <w:lvlJc w:val="left"/>
      <w:pPr>
        <w:tabs>
          <w:tab w:val="num" w:pos="780"/>
        </w:tabs>
        <w:ind w:left="42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b783bb1fbc8dcbba7f7264d586b653b78624bc52.jpg" TargetMode="Internal"/><Relationship Id="rId6" Type="http://schemas.openxmlformats.org/officeDocument/2006/relationships/image" Target="media/image-b15bc2c32d25f6b91aef5243db614ece8e25b55d.jpg" TargetMode="Internal"/><Relationship Id="rId7" Type="http://schemas.openxmlformats.org/officeDocument/2006/relationships/image" Target="media/image-0f08555f2498d5281c45d0ccdc725c1b670cea76.jpg" TargetMode="Internal"/><Relationship Id="rId8" Type="http://schemas.openxmlformats.org/officeDocument/2006/relationships/image" Target="media/image-ef1c9b0fcaa5c1f9d3f5098afdc353738d61eb8a.jpg" TargetMode="Internal"/><Relationship Id="rId9" Type="http://schemas.openxmlformats.org/officeDocument/2006/relationships/image" Target="media/image-a967f994436581cf44324e444238944e2de2f3c9.jpg" TargetMode="Internal"/><Relationship Id="rId10" Type="http://schemas.openxmlformats.org/officeDocument/2006/relationships/image" Target="media/image-d809717e431b6bd97167ad1bcdbf55e30b9645de.jpg" TargetMode="Internal"/><Relationship Id="rId11" Type="http://schemas.openxmlformats.org/officeDocument/2006/relationships/image" Target="media/image-d67790b73c3e623c09b2b000194971446e757b32.jpg" TargetMode="Internal"/><Relationship Id="rId12" Type="http://schemas.openxmlformats.org/officeDocument/2006/relationships/image" Target="media/image-35c36a35dddddbce4b30d4d56fbfb6a7989ca8b8.jpg" TargetMode="Internal"/><Relationship Id="rId13" Type="http://schemas.openxmlformats.org/officeDocument/2006/relationships/image" Target="media/image-7729cee427324e4d6ac69cc9ec39b467d7e1ed38.jpg" TargetMode="Internal"/><Relationship Id="rId14" Type="http://schemas.openxmlformats.org/officeDocument/2006/relationships/hyperlink" Target="mailto:happylisap@hainanu.edu.c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2026-09-14T06:49:52.714Z</dcterms:created>
  <dcterms:modified xsi:type="dcterms:W3CDTF">2026-09-14T06:49:52.714Z</dcterms:modified>
</cp:coreProperties>
</file>